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FC9E7">
      <w:pPr>
        <w:shd w:val="clear" w:color="auto" w:fill="FFFFFF"/>
        <w:spacing w:before="100" w:beforeAutospacing="1" w:after="100" w:afterAutospacing="1" w:line="440" w:lineRule="atLeast"/>
        <w:ind w:firstLine="480"/>
        <w:jc w:val="center"/>
        <w:rPr>
          <w:rFonts w:ascii="华文行楷" w:hAnsi="宋体" w:eastAsia="华文行楷" w:cs="宋体"/>
          <w:color w:val="333333"/>
          <w:sz w:val="24"/>
          <w:szCs w:val="24"/>
          <w:lang w:eastAsia="zh-CN"/>
        </w:rPr>
      </w:pPr>
      <w:bookmarkStart w:id="0" w:name="_Toc478328673"/>
      <w:bookmarkStart w:id="1" w:name="_Toc478329157"/>
      <w:bookmarkStart w:id="2" w:name="_Hlk141803481"/>
      <w:bookmarkStart w:id="3" w:name="_Toc478328391"/>
      <w:r>
        <w:rPr>
          <w:rFonts w:hint="eastAsia" w:ascii="华文行楷" w:hAnsi="黑体" w:eastAsia="华文行楷" w:cs="宋体"/>
          <w:color w:val="333333"/>
          <w:sz w:val="36"/>
          <w:szCs w:val="36"/>
          <w:lang w:eastAsia="zh-CN"/>
        </w:rPr>
        <w:t>四川天马玻璃有限公司</w:t>
      </w:r>
    </w:p>
    <w:p w14:paraId="28DD3487">
      <w:pPr>
        <w:shd w:val="clear" w:color="auto" w:fill="FFFFFF"/>
        <w:spacing w:before="100" w:beforeAutospacing="1" w:after="100" w:afterAutospacing="1" w:line="440" w:lineRule="atLeast"/>
        <w:ind w:firstLine="480"/>
        <w:jc w:val="center"/>
        <w:rPr>
          <w:rFonts w:ascii="黑体" w:hAnsi="黑体" w:eastAsia="黑体" w:cs="宋体"/>
          <w:color w:val="333333"/>
          <w:sz w:val="36"/>
          <w:szCs w:val="36"/>
          <w:lang w:eastAsia="zh-CN"/>
        </w:rPr>
      </w:pPr>
      <w:r>
        <w:rPr>
          <w:rFonts w:hint="eastAsia" w:ascii="黑体" w:hAnsi="黑体" w:eastAsia="黑体" w:cs="宋体"/>
          <w:color w:val="333333"/>
          <w:sz w:val="36"/>
          <w:szCs w:val="36"/>
          <w:lang w:val="en-US" w:eastAsia="zh-CN"/>
        </w:rPr>
        <w:t>2027年年度</w:t>
      </w:r>
      <w:r>
        <w:rPr>
          <w:rFonts w:hint="eastAsia" w:ascii="黑体" w:hAnsi="黑体" w:eastAsia="黑体" w:cs="宋体"/>
          <w:color w:val="333333"/>
          <w:sz w:val="36"/>
          <w:szCs w:val="36"/>
          <w:lang w:eastAsia="zh-CN"/>
        </w:rPr>
        <w:t>钾长石采购</w:t>
      </w:r>
    </w:p>
    <w:p w14:paraId="77F3E886">
      <w:pPr>
        <w:shd w:val="clear" w:color="auto" w:fill="FFFFFF"/>
        <w:spacing w:before="100" w:beforeAutospacing="1" w:after="100" w:afterAutospacing="1" w:line="440" w:lineRule="atLeast"/>
        <w:ind w:firstLine="480"/>
        <w:jc w:val="center"/>
        <w:rPr>
          <w:rFonts w:ascii="宋体" w:hAnsi="宋体" w:eastAsia="宋体" w:cs="宋体"/>
          <w:color w:val="333333"/>
          <w:sz w:val="24"/>
          <w:szCs w:val="24"/>
          <w:lang w:eastAsia="zh-CN"/>
        </w:rPr>
      </w:pPr>
      <w:r>
        <w:rPr>
          <w:rFonts w:hint="eastAsia" w:ascii="黑体" w:hAnsi="黑体" w:eastAsia="黑体" w:cs="宋体"/>
          <w:color w:val="333333"/>
          <w:sz w:val="36"/>
          <w:szCs w:val="36"/>
          <w:lang w:eastAsia="zh-CN"/>
        </w:rPr>
        <w:t>招标公告</w:t>
      </w:r>
    </w:p>
    <w:p w14:paraId="3263D78B">
      <w:pPr>
        <w:shd w:val="clear" w:color="auto" w:fill="FFFFFF"/>
        <w:tabs>
          <w:tab w:val="center" w:pos="5059"/>
          <w:tab w:val="left" w:pos="8340"/>
        </w:tabs>
        <w:spacing w:before="156" w:after="156" w:line="500" w:lineRule="atLeast"/>
        <w:ind w:firstLine="480"/>
        <w:rPr>
          <w:rFonts w:ascii="宋体" w:hAnsi="宋体" w:eastAsia="宋体" w:cs="宋体"/>
          <w:sz w:val="24"/>
          <w:szCs w:val="24"/>
          <w:lang w:eastAsia="zh-CN"/>
        </w:rPr>
      </w:pPr>
      <w:r>
        <w:rPr>
          <w:rFonts w:ascii="宋体" w:hAnsi="宋体" w:eastAsia="宋体" w:cs="宋体"/>
          <w:sz w:val="28"/>
          <w:szCs w:val="28"/>
          <w:lang w:eastAsia="zh-CN"/>
        </w:rPr>
        <w:tab/>
      </w:r>
      <w:r>
        <w:rPr>
          <w:rFonts w:hint="eastAsia" w:ascii="宋体" w:hAnsi="宋体" w:eastAsia="宋体" w:cs="宋体"/>
          <w:sz w:val="28"/>
          <w:szCs w:val="28"/>
          <w:lang w:eastAsia="zh-CN"/>
        </w:rPr>
        <w:t>招标编号：</w:t>
      </w:r>
      <w:r>
        <w:rPr>
          <w:rFonts w:hint="eastAsia" w:asciiTheme="minorEastAsia" w:hAnsiTheme="minorEastAsia" w:eastAsiaTheme="minorEastAsia" w:cstheme="minorEastAsia"/>
          <w:b/>
          <w:bCs w:val="0"/>
          <w:sz w:val="24"/>
        </w:rPr>
        <w:t>天马司招（202</w:t>
      </w:r>
      <w:r>
        <w:rPr>
          <w:rFonts w:hint="eastAsia" w:asciiTheme="minorEastAsia" w:hAnsiTheme="minorEastAsia" w:cstheme="minorEastAsia"/>
          <w:b/>
          <w:bCs w:val="0"/>
          <w:sz w:val="24"/>
          <w:lang w:val="en-US" w:eastAsia="zh-CN"/>
        </w:rPr>
        <w:t>6</w:t>
      </w:r>
      <w:r>
        <w:rPr>
          <w:rFonts w:hint="eastAsia" w:asciiTheme="minorEastAsia" w:hAnsiTheme="minorEastAsia" w:eastAsiaTheme="minorEastAsia" w:cstheme="minorEastAsia"/>
          <w:b/>
          <w:bCs w:val="0"/>
          <w:sz w:val="24"/>
        </w:rPr>
        <w:t>）CG-0</w:t>
      </w:r>
      <w:r>
        <w:rPr>
          <w:rFonts w:hint="eastAsia" w:asciiTheme="minorEastAsia" w:hAnsiTheme="minorEastAsia" w:cstheme="minorEastAsia"/>
          <w:b/>
          <w:bCs w:val="0"/>
          <w:sz w:val="24"/>
          <w:lang w:val="en-US" w:eastAsia="zh-CN"/>
        </w:rPr>
        <w:t>13</w:t>
      </w:r>
      <w:r>
        <w:rPr>
          <w:rFonts w:hint="eastAsia" w:asciiTheme="minorEastAsia" w:hAnsiTheme="minorEastAsia" w:eastAsiaTheme="minorEastAsia" w:cstheme="minorEastAsia"/>
          <w:b/>
          <w:bCs w:val="0"/>
          <w:sz w:val="24"/>
        </w:rPr>
        <w:t>号</w:t>
      </w:r>
      <w:r>
        <w:rPr>
          <w:rFonts w:ascii="宋体" w:hAnsi="宋体" w:eastAsia="宋体" w:cs="宋体"/>
          <w:sz w:val="28"/>
          <w:szCs w:val="28"/>
          <w:lang w:eastAsia="zh-CN"/>
        </w:rPr>
        <w:tab/>
      </w:r>
    </w:p>
    <w:p w14:paraId="19C49990">
      <w:pPr>
        <w:shd w:val="clear" w:color="auto" w:fill="FFFFFF"/>
        <w:overflowPunct w:val="0"/>
        <w:adjustRightInd w:val="0"/>
        <w:snapToGrid w:val="0"/>
        <w:spacing w:before="312" w:beforeLines="100" w:after="312" w:afterLines="100" w:line="360" w:lineRule="auto"/>
        <w:rPr>
          <w:rFonts w:hint="eastAsia" w:ascii="宋体" w:hAnsi="宋体" w:eastAsia="宋体" w:cs="宋体"/>
          <w:sz w:val="24"/>
          <w:szCs w:val="24"/>
          <w:lang w:eastAsia="zh-CN"/>
        </w:rPr>
      </w:pPr>
      <w:r>
        <w:rPr>
          <w:rFonts w:hint="eastAsia" w:ascii="宋体" w:hAnsi="宋体" w:eastAsia="宋体" w:cs="宋体"/>
          <w:sz w:val="28"/>
          <w:szCs w:val="28"/>
          <w:lang w:eastAsia="zh-CN"/>
        </w:rPr>
        <w:t xml:space="preserve">    </w:t>
      </w:r>
      <w:r>
        <w:rPr>
          <w:rFonts w:hint="eastAsia" w:ascii="宋体" w:hAnsi="宋体" w:eastAsia="宋体" w:cs="宋体"/>
          <w:sz w:val="24"/>
          <w:szCs w:val="24"/>
          <w:lang w:eastAsia="zh-CN"/>
        </w:rPr>
        <w:t>四川天马玻璃有限公司（下称：招标方）现对公司202</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年度</w:t>
      </w:r>
      <w:r>
        <w:rPr>
          <w:rFonts w:hint="eastAsia" w:ascii="宋体" w:hAnsi="宋体" w:eastAsia="宋体" w:cs="宋体"/>
          <w:sz w:val="24"/>
          <w:szCs w:val="24"/>
          <w:lang w:eastAsia="zh-CN"/>
        </w:rPr>
        <w:t>生产所需钾长石进行公开招标。诚邀国内满足条件的生产厂家及代理商参与投标。</w:t>
      </w:r>
    </w:p>
    <w:p w14:paraId="62C004A8">
      <w:pPr>
        <w:pStyle w:val="81"/>
        <w:numPr>
          <w:ilvl w:val="0"/>
          <w:numId w:val="1"/>
        </w:numPr>
        <w:overflowPunct w:val="0"/>
        <w:adjustRightInd w:val="0"/>
        <w:snapToGrid w:val="0"/>
        <w:spacing w:before="312" w:beforeLines="100" w:after="312" w:afterLines="100" w:line="360" w:lineRule="auto"/>
        <w:ind w:firstLineChars="0"/>
        <w:rPr>
          <w:rFonts w:hint="eastAsia" w:ascii="宋体" w:hAnsi="宋体" w:eastAsia="宋体" w:cs="宋体"/>
          <w:b/>
          <w:bCs/>
          <w:color w:val="333333"/>
          <w:kern w:val="0"/>
          <w:sz w:val="24"/>
          <w:szCs w:val="24"/>
        </w:rPr>
      </w:pPr>
      <w:r>
        <w:rPr>
          <w:rFonts w:hint="eastAsia" w:ascii="宋体" w:hAnsi="宋体" w:eastAsia="宋体" w:cs="宋体"/>
          <w:b/>
          <w:bCs/>
          <w:sz w:val="24"/>
          <w:szCs w:val="24"/>
        </w:rPr>
        <w:t>招标项目名称、技术参数、年用量、投标保证金、付款要求</w:t>
      </w:r>
    </w:p>
    <w:tbl>
      <w:tblPr>
        <w:tblStyle w:val="34"/>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3369"/>
        <w:gridCol w:w="1134"/>
        <w:gridCol w:w="1417"/>
        <w:gridCol w:w="1309"/>
        <w:gridCol w:w="1526"/>
      </w:tblGrid>
      <w:tr w14:paraId="7D0A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992" w:type="dxa"/>
            <w:vAlign w:val="center"/>
          </w:tcPr>
          <w:p w14:paraId="10E7B49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名称</w:t>
            </w:r>
          </w:p>
        </w:tc>
        <w:tc>
          <w:tcPr>
            <w:tcW w:w="3369" w:type="dxa"/>
            <w:vAlign w:val="center"/>
          </w:tcPr>
          <w:p w14:paraId="02277CA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指标</w:t>
            </w:r>
          </w:p>
        </w:tc>
        <w:tc>
          <w:tcPr>
            <w:tcW w:w="1134" w:type="dxa"/>
            <w:vAlign w:val="center"/>
          </w:tcPr>
          <w:p w14:paraId="58CF0E0D">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包装</w:t>
            </w:r>
          </w:p>
          <w:p w14:paraId="76BF8DD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标准</w:t>
            </w:r>
          </w:p>
        </w:tc>
        <w:tc>
          <w:tcPr>
            <w:tcW w:w="1417" w:type="dxa"/>
            <w:vAlign w:val="center"/>
          </w:tcPr>
          <w:p w14:paraId="64643757">
            <w:pPr>
              <w:spacing w:line="360" w:lineRule="auto"/>
              <w:ind w:left="129"/>
              <w:jc w:val="center"/>
              <w:rPr>
                <w:rFonts w:hint="eastAsia" w:ascii="宋体" w:hAnsi="宋体" w:eastAsia="宋体" w:cs="宋体"/>
                <w:sz w:val="24"/>
                <w:szCs w:val="24"/>
                <w:lang w:eastAsia="zh-CN"/>
              </w:rPr>
            </w:pPr>
            <w:r>
              <w:rPr>
                <w:rFonts w:hint="eastAsia" w:ascii="宋体" w:hAnsi="宋体" w:eastAsia="宋体" w:cs="宋体"/>
                <w:sz w:val="24"/>
                <w:szCs w:val="24"/>
              </w:rPr>
              <w:t>年采购量</w:t>
            </w:r>
          </w:p>
        </w:tc>
        <w:tc>
          <w:tcPr>
            <w:tcW w:w="1309" w:type="dxa"/>
            <w:vAlign w:val="center"/>
          </w:tcPr>
          <w:p w14:paraId="7C4D332D">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投标</w:t>
            </w:r>
          </w:p>
          <w:p w14:paraId="0216E61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保证金</w:t>
            </w:r>
          </w:p>
        </w:tc>
        <w:tc>
          <w:tcPr>
            <w:tcW w:w="1526" w:type="dxa"/>
            <w:vAlign w:val="center"/>
          </w:tcPr>
          <w:p w14:paraId="3497F01E">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备注</w:t>
            </w:r>
          </w:p>
        </w:tc>
      </w:tr>
      <w:tr w14:paraId="46AF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0" w:hRule="atLeast"/>
        </w:trPr>
        <w:tc>
          <w:tcPr>
            <w:tcW w:w="992" w:type="dxa"/>
            <w:vAlign w:val="center"/>
          </w:tcPr>
          <w:p w14:paraId="13DF7EC9">
            <w:pPr>
              <w:pStyle w:val="81"/>
              <w:spacing w:line="36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钾长石</w:t>
            </w:r>
          </w:p>
        </w:tc>
        <w:tc>
          <w:tcPr>
            <w:tcW w:w="3369" w:type="dxa"/>
            <w:vAlign w:val="center"/>
          </w:tcPr>
          <w:p w14:paraId="22CB177C">
            <w:pPr>
              <w:spacing w:line="360" w:lineRule="auto"/>
              <w:rPr>
                <w:rFonts w:hint="eastAsia" w:ascii="宋体" w:hAnsi="宋体" w:eastAsia="宋体" w:cs="宋体"/>
                <w:b/>
                <w:sz w:val="24"/>
                <w:szCs w:val="24"/>
                <w:lang w:eastAsia="zh-CN"/>
              </w:rPr>
            </w:pPr>
            <w:r>
              <w:rPr>
                <w:rFonts w:hint="eastAsia" w:ascii="宋体" w:hAnsi="宋体" w:eastAsia="宋体" w:cs="宋体"/>
                <w:b/>
                <w:sz w:val="24"/>
                <w:szCs w:val="24"/>
                <w:lang w:eastAsia="zh-CN"/>
              </w:rPr>
              <w:t>1、化学指标</w:t>
            </w:r>
          </w:p>
          <w:p w14:paraId="7FED18AE">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Al2O3≥13.0±1%                                                                                    Fe2O3 ≤0.20%</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水分≤0.5%</w:t>
            </w:r>
            <w:r>
              <w:rPr>
                <w:rFonts w:hint="eastAsia" w:ascii="宋体" w:hAnsi="宋体" w:eastAsia="宋体" w:cs="宋体"/>
                <w:sz w:val="24"/>
                <w:szCs w:val="24"/>
              </w:rPr>
              <w:t xml:space="preserve"> </w:t>
            </w:r>
          </w:p>
          <w:p w14:paraId="4CE8EEB7">
            <w:pPr>
              <w:rPr>
                <w:rFonts w:hint="eastAsia" w:ascii="宋体" w:hAnsi="宋体" w:eastAsia="宋体" w:cs="宋体"/>
                <w:b/>
                <w:sz w:val="24"/>
                <w:szCs w:val="24"/>
                <w:lang w:val="en-GB" w:eastAsia="zh-CN"/>
              </w:rPr>
            </w:pPr>
            <w:r>
              <w:rPr>
                <w:rFonts w:hint="eastAsia" w:ascii="宋体" w:hAnsi="宋体" w:eastAsia="宋体" w:cs="宋体"/>
                <w:b/>
                <w:sz w:val="24"/>
                <w:szCs w:val="24"/>
                <w:lang w:val="en-GB" w:eastAsia="zh-CN"/>
              </w:rPr>
              <w:t>2、</w:t>
            </w:r>
            <w:r>
              <w:rPr>
                <w:rFonts w:hint="eastAsia" w:ascii="宋体" w:hAnsi="宋体" w:eastAsia="宋体" w:cs="宋体"/>
                <w:b/>
                <w:sz w:val="24"/>
                <w:szCs w:val="24"/>
                <w:lang w:val="en-GB"/>
              </w:rPr>
              <w:t>粒度指标</w:t>
            </w:r>
          </w:p>
          <w:p w14:paraId="56681B60">
            <w:pPr>
              <w:rPr>
                <w:rFonts w:hint="eastAsia" w:ascii="宋体" w:hAnsi="宋体" w:eastAsia="宋体" w:cs="宋体"/>
                <w:sz w:val="24"/>
                <w:szCs w:val="24"/>
                <w:lang w:val="en-GB" w:eastAsia="zh-CN"/>
              </w:rPr>
            </w:pPr>
            <w:r>
              <w:rPr>
                <w:rFonts w:hint="eastAsia" w:ascii="宋体" w:hAnsi="宋体" w:eastAsia="宋体" w:cs="宋体"/>
                <w:kern w:val="2"/>
                <w:sz w:val="24"/>
                <w:szCs w:val="24"/>
                <w:lang w:val="en-GB" w:eastAsia="zh-CN" w:bidi="ar-SA"/>
              </w:rPr>
              <w:t>+16目（1mm）：0　　　　　</w:t>
            </w:r>
            <w:r>
              <w:rPr>
                <w:rFonts w:hint="eastAsia" w:ascii="宋体" w:hAnsi="宋体" w:eastAsia="宋体" w:cs="宋体"/>
                <w:kern w:val="2"/>
                <w:sz w:val="24"/>
                <w:szCs w:val="24"/>
                <w:lang w:eastAsia="zh-CN" w:bidi="ar-SA"/>
              </w:rPr>
              <w:t xml:space="preserve">          </w:t>
            </w:r>
            <w:r>
              <w:rPr>
                <w:rFonts w:hint="eastAsia" w:ascii="宋体" w:hAnsi="宋体" w:eastAsia="宋体" w:cs="宋体"/>
                <w:sz w:val="24"/>
                <w:szCs w:val="24"/>
                <w:lang w:val="en-GB"/>
              </w:rPr>
              <w:t>+25</w:t>
            </w:r>
            <w:r>
              <w:rPr>
                <w:rFonts w:hint="eastAsia" w:ascii="宋体" w:hAnsi="宋体" w:eastAsia="宋体" w:cs="宋体"/>
                <w:kern w:val="2"/>
                <w:sz w:val="24"/>
                <w:szCs w:val="24"/>
                <w:lang w:val="en-GB" w:eastAsia="zh-CN" w:bidi="ar-SA"/>
              </w:rPr>
              <w:t>目(0.6mm) ≤ 1.0%                                                 +36(0.425mm)</w:t>
            </w:r>
            <w:r>
              <w:rPr>
                <w:rFonts w:hint="eastAsia" w:ascii="宋体" w:hAnsi="宋体" w:eastAsia="宋体" w:cs="宋体"/>
                <w:sz w:val="24"/>
                <w:szCs w:val="24"/>
              </w:rPr>
              <w:t xml:space="preserve"> </w:t>
            </w:r>
            <w:r>
              <w:rPr>
                <w:rFonts w:hint="eastAsia" w:ascii="宋体" w:hAnsi="宋体" w:eastAsia="宋体" w:cs="宋体"/>
                <w:kern w:val="2"/>
                <w:sz w:val="24"/>
                <w:szCs w:val="24"/>
                <w:lang w:eastAsia="zh-CN" w:bidi="ar-SA"/>
              </w:rPr>
              <w:t>≤</w:t>
            </w:r>
            <w:r>
              <w:rPr>
                <w:rFonts w:hint="eastAsia" w:ascii="宋体" w:hAnsi="宋体" w:eastAsia="宋体" w:cs="宋体"/>
                <w:kern w:val="2"/>
                <w:sz w:val="24"/>
                <w:szCs w:val="24"/>
                <w:lang w:val="en-GB" w:eastAsia="zh-CN" w:bidi="ar-SA"/>
              </w:rPr>
              <w:t>10.0%　　　　　　</w:t>
            </w: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GB" w:eastAsia="zh-CN" w:bidi="ar-SA"/>
              </w:rPr>
              <w:t>-200目（0.075mm）≤ 12.0%</w:t>
            </w:r>
          </w:p>
          <w:p w14:paraId="69311891">
            <w:pPr>
              <w:pStyle w:val="81"/>
              <w:ind w:firstLine="0" w:firstLineChars="0"/>
              <w:rPr>
                <w:rFonts w:hint="eastAsia" w:ascii="宋体" w:hAnsi="宋体" w:eastAsia="宋体" w:cs="宋体"/>
                <w:sz w:val="24"/>
                <w:szCs w:val="24"/>
              </w:rPr>
            </w:pPr>
            <w:r>
              <w:rPr>
                <w:rFonts w:hint="eastAsia" w:ascii="宋体" w:hAnsi="宋体" w:eastAsia="宋体" w:cs="宋体"/>
                <w:sz w:val="24"/>
                <w:szCs w:val="24"/>
                <w:lang w:val="en-GB"/>
              </w:rPr>
              <w:t xml:space="preserve">                                       </w:t>
            </w:r>
            <w:r>
              <w:rPr>
                <w:rFonts w:hint="eastAsia" w:ascii="宋体" w:hAnsi="宋体" w:eastAsia="宋体" w:cs="宋体"/>
                <w:sz w:val="24"/>
                <w:szCs w:val="24"/>
              </w:rPr>
              <w:t xml:space="preserve">                                                                               </w:t>
            </w:r>
          </w:p>
        </w:tc>
        <w:tc>
          <w:tcPr>
            <w:tcW w:w="1134" w:type="dxa"/>
            <w:vAlign w:val="center"/>
          </w:tcPr>
          <w:p w14:paraId="1542F8D2">
            <w:pPr>
              <w:pStyle w:val="81"/>
              <w:spacing w:line="36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吨袋</w:t>
            </w:r>
          </w:p>
          <w:p w14:paraId="319DECDD">
            <w:pPr>
              <w:pStyle w:val="81"/>
              <w:spacing w:line="360" w:lineRule="auto"/>
              <w:ind w:firstLine="0" w:firstLineChars="0"/>
              <w:jc w:val="center"/>
              <w:rPr>
                <w:rFonts w:hint="eastAsia" w:ascii="宋体" w:hAnsi="宋体" w:eastAsia="宋体" w:cs="宋体"/>
                <w:sz w:val="24"/>
                <w:szCs w:val="24"/>
              </w:rPr>
            </w:pPr>
            <w:r>
              <w:rPr>
                <w:rFonts w:hint="eastAsia" w:ascii="宋体" w:hAnsi="宋体" w:eastAsia="宋体" w:cs="宋体"/>
                <w:sz w:val="24"/>
                <w:szCs w:val="24"/>
              </w:rPr>
              <w:t>包装</w:t>
            </w:r>
          </w:p>
        </w:tc>
        <w:tc>
          <w:tcPr>
            <w:tcW w:w="1417" w:type="dxa"/>
            <w:vAlign w:val="center"/>
          </w:tcPr>
          <w:p w14:paraId="07C301DF">
            <w:pPr>
              <w:pStyle w:val="81"/>
              <w:spacing w:line="360" w:lineRule="auto"/>
              <w:ind w:left="112"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约</w:t>
            </w:r>
            <w:r>
              <w:rPr>
                <w:rFonts w:hint="eastAsia" w:ascii="宋体" w:hAnsi="宋体" w:eastAsia="宋体" w:cs="宋体"/>
                <w:sz w:val="24"/>
                <w:szCs w:val="24"/>
                <w:highlight w:val="none"/>
                <w:lang w:val="en-US" w:eastAsia="zh-CN"/>
              </w:rPr>
              <w:t>10000</w:t>
            </w:r>
            <w:r>
              <w:rPr>
                <w:rFonts w:hint="eastAsia" w:ascii="宋体" w:hAnsi="宋体" w:eastAsia="宋体" w:cs="宋体"/>
                <w:sz w:val="24"/>
                <w:szCs w:val="24"/>
                <w:highlight w:val="none"/>
              </w:rPr>
              <w:t>吨</w:t>
            </w:r>
          </w:p>
        </w:tc>
        <w:tc>
          <w:tcPr>
            <w:tcW w:w="1309" w:type="dxa"/>
            <w:vAlign w:val="center"/>
          </w:tcPr>
          <w:p w14:paraId="3AFA25FD">
            <w:pPr>
              <w:pStyle w:val="81"/>
              <w:spacing w:line="360" w:lineRule="auto"/>
              <w:ind w:firstLine="0" w:firstLineChars="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万元</w:t>
            </w:r>
          </w:p>
        </w:tc>
        <w:tc>
          <w:tcPr>
            <w:tcW w:w="1526" w:type="dxa"/>
            <w:vAlign w:val="center"/>
          </w:tcPr>
          <w:p w14:paraId="7B764B2D">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每月供应量以招标方每月订单为准</w:t>
            </w:r>
          </w:p>
        </w:tc>
      </w:tr>
    </w:tbl>
    <w:p w14:paraId="03FB8A39">
      <w:pPr>
        <w:overflowPunct w:val="0"/>
        <w:adjustRightInd w:val="0"/>
        <w:snapToGrid w:val="0"/>
        <w:spacing w:line="360" w:lineRule="auto"/>
        <w:rPr>
          <w:rFonts w:hint="eastAsia" w:ascii="宋体" w:hAnsi="宋体" w:eastAsia="宋体" w:cs="宋体"/>
          <w:b/>
          <w:bCs/>
          <w:color w:val="000000" w:themeColor="text1"/>
          <w:sz w:val="24"/>
          <w:szCs w:val="24"/>
          <w:lang w:eastAsia="zh-CN"/>
          <w14:textFill>
            <w14:solidFill>
              <w14:schemeClr w14:val="tx1"/>
            </w14:solidFill>
          </w14:textFill>
        </w:rPr>
      </w:pPr>
    </w:p>
    <w:p w14:paraId="12C50ED8">
      <w:pPr>
        <w:pStyle w:val="30"/>
        <w:widowControl/>
        <w:shd w:val="clear" w:color="auto" w:fill="FFFFFF"/>
        <w:spacing w:beforeAutospacing="0" w:afterAutospacing="0" w:line="360" w:lineRule="auto"/>
        <w:rPr>
          <w:rFonts w:hint="eastAsia" w:ascii="宋体" w:hAnsi="宋体" w:eastAsia="宋体" w:cs="宋体"/>
          <w:b/>
          <w:sz w:val="24"/>
          <w:szCs w:val="24"/>
        </w:rPr>
      </w:pPr>
      <w:r>
        <w:rPr>
          <w:rFonts w:hint="eastAsia" w:ascii="宋体" w:hAnsi="宋体" w:eastAsia="宋体" w:cs="宋体"/>
          <w:b/>
          <w:sz w:val="24"/>
          <w:szCs w:val="24"/>
        </w:rPr>
        <w:t>二、投标须知</w:t>
      </w:r>
    </w:p>
    <w:p w14:paraId="376155B7">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1、本次招标内容为招标方20</w:t>
      </w:r>
      <w:r>
        <w:rPr>
          <w:rFonts w:hint="eastAsia" w:ascii="宋体" w:hAnsi="宋体" w:eastAsia="宋体" w:cs="宋体"/>
          <w:sz w:val="24"/>
          <w:szCs w:val="24"/>
          <w:lang w:val="en-US" w:eastAsia="zh-CN"/>
        </w:rPr>
        <w:t>27</w:t>
      </w:r>
      <w:r>
        <w:rPr>
          <w:rFonts w:hint="eastAsia" w:ascii="宋体" w:hAnsi="宋体" w:eastAsia="宋体" w:cs="宋体"/>
          <w:sz w:val="24"/>
          <w:szCs w:val="24"/>
        </w:rPr>
        <w:t>年</w:t>
      </w:r>
      <w:r>
        <w:rPr>
          <w:rFonts w:hint="eastAsia" w:ascii="宋体" w:hAnsi="宋体" w:eastAsia="宋体" w:cs="宋体"/>
          <w:sz w:val="24"/>
          <w:szCs w:val="24"/>
          <w:lang w:val="en-US" w:eastAsia="zh-CN"/>
        </w:rPr>
        <w:t>年度</w:t>
      </w:r>
      <w:r>
        <w:rPr>
          <w:rFonts w:hint="eastAsia" w:ascii="宋体" w:hAnsi="宋体" w:eastAsia="宋体" w:cs="宋体"/>
          <w:sz w:val="24"/>
          <w:szCs w:val="24"/>
        </w:rPr>
        <w:t>生产所需钾长石的招标。</w:t>
      </w:r>
    </w:p>
    <w:p w14:paraId="06840F5C">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2、本着公开、公平、公正、诚实信用、阳光透明的原则面向全社会进行公开招标，欢迎有符合资质的生产厂家及代理商参与投标。</w:t>
      </w:r>
    </w:p>
    <w:p w14:paraId="0CE8385C">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3、投标保证金：投标方</w:t>
      </w:r>
      <w:r>
        <w:rPr>
          <w:rFonts w:hint="eastAsia" w:ascii="宋体" w:hAnsi="宋体" w:eastAsia="宋体" w:cs="宋体"/>
          <w:sz w:val="24"/>
          <w:szCs w:val="24"/>
          <w:highlight w:val="none"/>
        </w:rPr>
        <w:t>于202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03</w:t>
      </w:r>
      <w:r>
        <w:rPr>
          <w:rFonts w:hint="eastAsia" w:ascii="宋体" w:hAnsi="宋体" w:eastAsia="宋体" w:cs="宋体"/>
          <w:sz w:val="24"/>
          <w:szCs w:val="24"/>
          <w:highlight w:val="none"/>
        </w:rPr>
        <w:t>日17:30</w:t>
      </w:r>
      <w:r>
        <w:rPr>
          <w:rFonts w:hint="eastAsia" w:ascii="宋体" w:hAnsi="宋体" w:eastAsia="宋体" w:cs="宋体"/>
          <w:sz w:val="24"/>
          <w:szCs w:val="24"/>
        </w:rPr>
        <w:t>时（北京时间，下同）前以银行转账方式向招标方指定账户（开户行名称：四川天马玻璃有限公司，开户银行及账号：工行射洪支行 2310 4641 0902 0103 760）缴纳足额的投标保证金。若投标方在招标方账户有足额的货款，则投标方不需重新缴纳保证金，只需书面委托招标方将货款转为此次投标保证金即可；若在招标方账户无足额保证金，须补齐或缴纳足额的保证金。在招标结束、确定中标并签订合同后，未中标者的投标保证金在10个工作日内不计息一次性全额退回；中标者的投标保证金自动转为合同履约保证金。</w:t>
      </w:r>
    </w:p>
    <w:p w14:paraId="752A450B">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4、交货时间及数量：合同签订后以招标方每月订单为准。</w:t>
      </w:r>
    </w:p>
    <w:p w14:paraId="4C434348">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5、结算方式：电汇结算。货物验收合格后，供方开具增值税专用发票，在招标方财务挂账</w:t>
      </w:r>
      <w:r>
        <w:rPr>
          <w:rFonts w:hint="eastAsia" w:ascii="宋体" w:hAnsi="宋体" w:eastAsia="宋体" w:cs="宋体"/>
          <w:sz w:val="24"/>
          <w:szCs w:val="24"/>
          <w:lang w:val="en-US" w:eastAsia="zh-CN"/>
        </w:rPr>
        <w:t>5</w:t>
      </w:r>
      <w:r>
        <w:rPr>
          <w:rFonts w:hint="eastAsia" w:ascii="宋体" w:hAnsi="宋体" w:eastAsia="宋体" w:cs="宋体"/>
          <w:sz w:val="24"/>
          <w:szCs w:val="24"/>
        </w:rPr>
        <w:t>0天后以银行电汇方式支付货款。</w:t>
      </w:r>
    </w:p>
    <w:p w14:paraId="35EF3622">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6、本次招标拒绝转包、分包。拒绝以联合体的形式投标。</w:t>
      </w:r>
    </w:p>
    <w:p w14:paraId="56DF3611">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7、纪律要求：投标方或投标方工作人员或中间人在本投标过程中不得以货币、实物、有价证券、吃请或其他任何形式贿赂招标方相关人员；投标人不得有串标、围标、提供虚假证明材料、转包、分包、联合投标等违规投标行为，一经查实、将没收全额投标保证金；并取消投标资格。</w:t>
      </w:r>
    </w:p>
    <w:p w14:paraId="261B81D8">
      <w:pPr>
        <w:pStyle w:val="30"/>
        <w:widowControl/>
        <w:shd w:val="clear" w:color="auto" w:fill="FFFFFF"/>
        <w:spacing w:beforeAutospacing="0" w:afterAutospacing="0" w:line="360" w:lineRule="auto"/>
        <w:rPr>
          <w:rFonts w:hint="eastAsia" w:ascii="宋体" w:hAnsi="宋体" w:eastAsia="宋体" w:cs="宋体"/>
          <w:b/>
          <w:sz w:val="24"/>
          <w:szCs w:val="24"/>
        </w:rPr>
      </w:pPr>
    </w:p>
    <w:p w14:paraId="661ADF09">
      <w:pPr>
        <w:pStyle w:val="30"/>
        <w:widowControl/>
        <w:shd w:val="clear" w:color="auto" w:fill="FFFFFF"/>
        <w:spacing w:beforeAutospacing="0" w:afterAutospacing="0" w:line="360" w:lineRule="auto"/>
        <w:rPr>
          <w:rFonts w:hint="eastAsia" w:ascii="宋体" w:hAnsi="宋体" w:eastAsia="宋体" w:cs="宋体"/>
          <w:b/>
          <w:sz w:val="24"/>
          <w:szCs w:val="24"/>
          <w:highlight w:val="none"/>
        </w:rPr>
      </w:pPr>
      <w:r>
        <w:rPr>
          <w:rFonts w:hint="eastAsia" w:ascii="宋体" w:hAnsi="宋体" w:eastAsia="宋体" w:cs="宋体"/>
          <w:b/>
          <w:sz w:val="24"/>
          <w:szCs w:val="24"/>
        </w:rPr>
        <w:t>三、</w:t>
      </w:r>
      <w:r>
        <w:rPr>
          <w:rFonts w:hint="eastAsia" w:ascii="宋体" w:hAnsi="宋体" w:eastAsia="宋体" w:cs="宋体"/>
          <w:b/>
          <w:sz w:val="24"/>
          <w:szCs w:val="24"/>
          <w:highlight w:val="none"/>
        </w:rPr>
        <w:t>投标人的资质要求及审查方式</w:t>
      </w:r>
    </w:p>
    <w:p w14:paraId="328BAD74">
      <w:pPr>
        <w:keepNext w:val="0"/>
        <w:keepLines w:val="0"/>
        <w:pageBreakBefore w:val="0"/>
        <w:widowControl/>
        <w:kinsoku/>
        <w:wordWrap/>
        <w:overflowPunct/>
        <w:topLinePunct w:val="0"/>
        <w:autoSpaceDE/>
        <w:autoSpaceDN/>
        <w:bidi w:val="0"/>
        <w:adjustRightInd w:val="0"/>
        <w:snapToGrid w:val="0"/>
        <w:spacing w:line="30" w:lineRule="atLeas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1、 资质及能力要求：具有独立法人资格，且具备以下相关资质条件、能力和信誉。</w:t>
      </w:r>
    </w:p>
    <w:p w14:paraId="30D05EE2">
      <w:pPr>
        <w:keepNext w:val="0"/>
        <w:keepLines w:val="0"/>
        <w:pageBreakBefore w:val="0"/>
        <w:widowControl/>
        <w:kinsoku/>
        <w:wordWrap/>
        <w:overflowPunct/>
        <w:topLinePunct w:val="0"/>
        <w:autoSpaceDE/>
        <w:autoSpaceDN/>
        <w:bidi w:val="0"/>
        <w:adjustRightInd/>
        <w:snapToGrid/>
        <w:spacing w:after="0" w:line="30"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lang w:eastAsia="zh-CN"/>
        </w:rPr>
        <w:t>（1）</w:t>
      </w:r>
      <w:r>
        <w:rPr>
          <w:rFonts w:hint="eastAsia" w:ascii="宋体" w:hAnsi="宋体" w:eastAsia="宋体" w:cs="宋体"/>
          <w:sz w:val="24"/>
          <w:szCs w:val="24"/>
          <w:lang w:eastAsia="zh-CN"/>
        </w:rPr>
        <w:t>具有独立承担民事责任能力的法人企业，具有有效的营业执照等资质证书，为一般纳税人、能开具正规的13%增值税专用发票。</w:t>
      </w:r>
    </w:p>
    <w:p w14:paraId="21969783">
      <w:pPr>
        <w:keepNext w:val="0"/>
        <w:keepLines w:val="0"/>
        <w:pageBreakBefore w:val="0"/>
        <w:widowControl/>
        <w:kinsoku/>
        <w:wordWrap/>
        <w:overflowPunct/>
        <w:topLinePunct w:val="0"/>
        <w:autoSpaceDE/>
        <w:autoSpaceDN/>
        <w:bidi w:val="0"/>
        <w:adjustRightInd/>
        <w:snapToGrid/>
        <w:spacing w:after="0" w:line="30" w:lineRule="atLeast"/>
        <w:ind w:firstLine="480" w:firstLineChars="200"/>
        <w:textAlignment w:val="auto"/>
        <w:rPr>
          <w:rFonts w:hint="eastAsia" w:ascii="宋体" w:hAnsi="宋体" w:eastAsia="宋体" w:cs="宋体"/>
          <w:sz w:val="24"/>
          <w:szCs w:val="24"/>
          <w:lang w:eastAsia="zh-CN"/>
        </w:rPr>
      </w:pPr>
    </w:p>
    <w:p w14:paraId="16CD18EC">
      <w:pPr>
        <w:keepNext w:val="0"/>
        <w:keepLines w:val="0"/>
        <w:pageBreakBefore w:val="0"/>
        <w:widowControl/>
        <w:kinsoku/>
        <w:wordWrap/>
        <w:overflowPunct/>
        <w:topLinePunct w:val="0"/>
        <w:autoSpaceDE/>
        <w:autoSpaceDN/>
        <w:bidi w:val="0"/>
        <w:adjustRightInd w:val="0"/>
        <w:snapToGrid w:val="0"/>
        <w:spacing w:line="30" w:lineRule="atLeast"/>
        <w:ind w:firstLine="480" w:firstLineChars="200"/>
        <w:textAlignment w:val="auto"/>
        <w:rPr>
          <w:rFonts w:hint="eastAsia" w:ascii="宋体" w:hAnsi="宋体" w:eastAsia="宋体" w:cs="宋体"/>
          <w:caps/>
          <w:color w:val="000000"/>
          <w:sz w:val="24"/>
          <w:szCs w:val="24"/>
          <w:lang w:eastAsia="zh-CN"/>
        </w:rPr>
      </w:pPr>
      <w:r>
        <w:rPr>
          <w:rFonts w:hint="eastAsia" w:ascii="宋体" w:hAnsi="宋体" w:eastAsia="宋体" w:cs="宋体"/>
          <w:color w:val="000000"/>
          <w:sz w:val="24"/>
          <w:szCs w:val="24"/>
          <w:lang w:eastAsia="zh-CN"/>
        </w:rPr>
        <w:t>（2）企业注册资金（人民币）不少于</w:t>
      </w:r>
      <w:r>
        <w:rPr>
          <w:rFonts w:hint="eastAsia" w:ascii="宋体" w:hAnsi="宋体" w:eastAsia="宋体" w:cs="宋体"/>
          <w:caps/>
          <w:color w:val="000000"/>
          <w:sz w:val="24"/>
          <w:szCs w:val="24"/>
          <w:lang w:eastAsia="zh-CN"/>
        </w:rPr>
        <w:t>500万元人民币。</w:t>
      </w:r>
    </w:p>
    <w:p w14:paraId="5FA16FF1">
      <w:pPr>
        <w:keepNext w:val="0"/>
        <w:keepLines w:val="0"/>
        <w:pageBreakBefore w:val="0"/>
        <w:widowControl/>
        <w:kinsoku/>
        <w:wordWrap/>
        <w:overflowPunct/>
        <w:topLinePunct w:val="0"/>
        <w:autoSpaceDE/>
        <w:autoSpaceDN/>
        <w:bidi w:val="0"/>
        <w:adjustRightInd w:val="0"/>
        <w:snapToGrid w:val="0"/>
        <w:spacing w:line="30" w:lineRule="atLeas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（3）投标单位必须是专业的生产厂家或代理商，同时须提供有效的矿山的安全生产许可证、采矿许可证等复印件（复印件需加盖公司鲜章）。</w:t>
      </w:r>
    </w:p>
    <w:p w14:paraId="379ECFCA">
      <w:pPr>
        <w:keepNext w:val="0"/>
        <w:keepLines w:val="0"/>
        <w:pageBreakBefore w:val="0"/>
        <w:widowControl/>
        <w:kinsoku/>
        <w:wordWrap/>
        <w:overflowPunct/>
        <w:topLinePunct w:val="0"/>
        <w:autoSpaceDE/>
        <w:autoSpaceDN/>
        <w:bidi w:val="0"/>
        <w:adjustRightInd w:val="0"/>
        <w:snapToGrid w:val="0"/>
        <w:spacing w:line="30" w:lineRule="atLeas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（4）生产厂家生产能力：不低于30000吨/年。</w:t>
      </w:r>
    </w:p>
    <w:p w14:paraId="2D5ED780">
      <w:pPr>
        <w:keepNext w:val="0"/>
        <w:keepLines w:val="0"/>
        <w:pageBreakBefore w:val="0"/>
        <w:widowControl/>
        <w:kinsoku/>
        <w:wordWrap/>
        <w:overflowPunct/>
        <w:topLinePunct w:val="0"/>
        <w:autoSpaceDE/>
        <w:autoSpaceDN/>
        <w:bidi w:val="0"/>
        <w:adjustRightInd w:val="0"/>
        <w:snapToGrid w:val="0"/>
        <w:spacing w:line="30" w:lineRule="atLeas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（5）信用中国网站无不良记录。</w:t>
      </w:r>
    </w:p>
    <w:p w14:paraId="69D0DACC">
      <w:pPr>
        <w:keepNext w:val="0"/>
        <w:keepLines w:val="0"/>
        <w:pageBreakBefore w:val="0"/>
        <w:widowControl/>
        <w:kinsoku/>
        <w:wordWrap/>
        <w:overflowPunct/>
        <w:topLinePunct w:val="0"/>
        <w:autoSpaceDE/>
        <w:autoSpaceDN/>
        <w:bidi w:val="0"/>
        <w:adjustRightInd w:val="0"/>
        <w:snapToGrid w:val="0"/>
        <w:spacing w:line="30" w:lineRule="atLeas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2 、财务要求：财务状况良好，近2年无亏损，有足够的资金能力来承担本项目的实施。</w:t>
      </w:r>
    </w:p>
    <w:p w14:paraId="56896D47">
      <w:pPr>
        <w:keepNext w:val="0"/>
        <w:keepLines w:val="0"/>
        <w:pageBreakBefore w:val="0"/>
        <w:widowControl/>
        <w:kinsoku/>
        <w:wordWrap/>
        <w:overflowPunct/>
        <w:topLinePunct w:val="0"/>
        <w:autoSpaceDE/>
        <w:autoSpaceDN/>
        <w:bidi w:val="0"/>
        <w:adjustRightInd w:val="0"/>
        <w:snapToGrid w:val="0"/>
        <w:spacing w:line="30" w:lineRule="atLeas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3、业绩要求：投标人能提供近2年国内玻璃厂的类似业绩至少</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lang w:eastAsia="zh-CN"/>
        </w:rPr>
        <w:t>例。</w:t>
      </w:r>
    </w:p>
    <w:p w14:paraId="7EAD6676">
      <w:pPr>
        <w:keepNext w:val="0"/>
        <w:keepLines w:val="0"/>
        <w:pageBreakBefore w:val="0"/>
        <w:widowControl/>
        <w:tabs>
          <w:tab w:val="right" w:leader="dot" w:pos="9471"/>
        </w:tabs>
        <w:kinsoku/>
        <w:wordWrap/>
        <w:overflowPunct/>
        <w:topLinePunct w:val="0"/>
        <w:autoSpaceDE/>
        <w:autoSpaceDN/>
        <w:bidi w:val="0"/>
        <w:spacing w:line="30" w:lineRule="atLeast"/>
        <w:ind w:firstLine="480" w:firstLineChars="200"/>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4、资格审查方式：本次招标资格审查方式为资格后审。</w:t>
      </w:r>
    </w:p>
    <w:p w14:paraId="19EE6B27">
      <w:pPr>
        <w:pStyle w:val="30"/>
        <w:keepNext w:val="0"/>
        <w:keepLines w:val="0"/>
        <w:pageBreakBefore w:val="0"/>
        <w:widowControl/>
        <w:shd w:val="clear" w:color="auto" w:fill="FFFFFF"/>
        <w:kinsoku/>
        <w:wordWrap/>
        <w:overflowPunct/>
        <w:topLinePunct w:val="0"/>
        <w:autoSpaceDE/>
        <w:autoSpaceDN/>
        <w:bidi w:val="0"/>
        <w:spacing w:beforeAutospacing="0" w:afterAutospacing="0" w:line="30" w:lineRule="atLeast"/>
        <w:ind w:firstLine="480" w:firstLineChars="200"/>
        <w:textAlignment w:val="auto"/>
        <w:rPr>
          <w:rFonts w:hint="eastAsia" w:ascii="宋体" w:hAnsi="宋体" w:eastAsia="宋体" w:cs="宋体"/>
          <w:sz w:val="24"/>
          <w:szCs w:val="24"/>
        </w:rPr>
      </w:pPr>
    </w:p>
    <w:p w14:paraId="2F1D4ACC">
      <w:pPr>
        <w:pStyle w:val="30"/>
        <w:widowControl/>
        <w:shd w:val="clear" w:color="auto" w:fill="FFFFFF"/>
        <w:spacing w:beforeAutospacing="0" w:afterAutospacing="0" w:line="360" w:lineRule="auto"/>
        <w:rPr>
          <w:rFonts w:hint="eastAsia" w:ascii="宋体" w:hAnsi="宋体" w:eastAsia="宋体" w:cs="宋体"/>
          <w:b/>
          <w:sz w:val="24"/>
          <w:szCs w:val="24"/>
          <w:lang w:val="en-US" w:eastAsia="zh-CN"/>
        </w:rPr>
      </w:pPr>
      <w:r>
        <w:rPr>
          <w:rFonts w:hint="eastAsia" w:ascii="宋体" w:hAnsi="宋体" w:eastAsia="宋体" w:cs="宋体"/>
          <w:b/>
          <w:sz w:val="24"/>
          <w:szCs w:val="24"/>
        </w:rPr>
        <w:t>四、</w:t>
      </w:r>
      <w:r>
        <w:rPr>
          <w:rFonts w:hint="eastAsia" w:ascii="宋体" w:hAnsi="宋体" w:eastAsia="宋体" w:cs="宋体"/>
          <w:b/>
          <w:sz w:val="24"/>
          <w:szCs w:val="24"/>
          <w:lang w:val="en-US" w:eastAsia="zh-CN"/>
        </w:rPr>
        <w:t>投标资料</w:t>
      </w:r>
      <w:r>
        <w:rPr>
          <w:rFonts w:hint="eastAsia" w:ascii="宋体" w:hAnsi="宋体" w:eastAsia="宋体" w:cs="宋体"/>
          <w:b/>
          <w:sz w:val="24"/>
          <w:szCs w:val="24"/>
        </w:rPr>
        <w:t>的</w:t>
      </w:r>
      <w:r>
        <w:rPr>
          <w:rFonts w:hint="eastAsia" w:ascii="宋体" w:hAnsi="宋体" w:eastAsia="宋体" w:cs="宋体"/>
          <w:b/>
          <w:sz w:val="24"/>
          <w:szCs w:val="24"/>
          <w:lang w:val="en-US" w:eastAsia="zh-CN"/>
        </w:rPr>
        <w:t>递交</w:t>
      </w:r>
    </w:p>
    <w:p w14:paraId="42C0A5B7">
      <w:pPr>
        <w:pStyle w:val="30"/>
        <w:widowControl/>
        <w:shd w:val="clear" w:color="auto" w:fill="FFFFFF"/>
        <w:spacing w:beforeAutospacing="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凡有意参加投标者，请于</w:t>
      </w:r>
      <w:r>
        <w:rPr>
          <w:rFonts w:hint="eastAsia" w:ascii="宋体" w:hAnsi="宋体" w:eastAsia="宋体" w:cs="宋体"/>
          <w:sz w:val="24"/>
          <w:szCs w:val="24"/>
          <w:highlight w:val="none"/>
        </w:rPr>
        <w:t xml:space="preserve"> 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26</w:t>
      </w:r>
      <w:r>
        <w:rPr>
          <w:rFonts w:hint="eastAsia" w:ascii="宋体" w:hAnsi="宋体" w:eastAsia="宋体" w:cs="宋体"/>
          <w:sz w:val="24"/>
          <w:szCs w:val="24"/>
          <w:highlight w:val="none"/>
        </w:rPr>
        <w:t>日至 20</w:t>
      </w:r>
      <w:r>
        <w:rPr>
          <w:rFonts w:hint="eastAsia" w:ascii="宋体" w:hAnsi="宋体" w:eastAsia="宋体" w:cs="宋体"/>
          <w:sz w:val="24"/>
          <w:szCs w:val="24"/>
          <w:highlight w:val="none"/>
          <w:lang w:val="en-US" w:eastAsia="zh-CN"/>
        </w:rPr>
        <w:t>26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日</w:t>
      </w:r>
      <w:r>
        <w:rPr>
          <w:rFonts w:hint="eastAsia" w:ascii="宋体" w:hAnsi="宋体" w:eastAsia="宋体" w:cs="宋体"/>
          <w:sz w:val="24"/>
          <w:szCs w:val="24"/>
        </w:rPr>
        <w:t>(法定公休日、法定节假日除外)，每日上午 08：30 时至 12：00 时，下午 14：00 时至 17：30 时(北京时间，下同)以电子邮件方式提供下列证件及资料</w:t>
      </w:r>
      <w:r>
        <w:rPr>
          <w:rFonts w:hint="eastAsia" w:ascii="宋体" w:hAnsi="宋体" w:eastAsia="宋体" w:cs="宋体"/>
          <w:sz w:val="24"/>
          <w:szCs w:val="24"/>
          <w:highlight w:val="none"/>
        </w:rPr>
        <w:t>（所有材料均需加盖公司鲜章）</w:t>
      </w:r>
      <w:r>
        <w:rPr>
          <w:rFonts w:hint="eastAsia" w:ascii="宋体" w:hAnsi="宋体" w:eastAsia="宋体" w:cs="宋体"/>
          <w:sz w:val="24"/>
          <w:szCs w:val="24"/>
        </w:rPr>
        <w:t xml:space="preserve">： </w:t>
      </w:r>
    </w:p>
    <w:p w14:paraId="7B8C491B">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（1）法人授权委托书、法定代表人及被授权人身份证复印件；</w:t>
      </w:r>
    </w:p>
    <w:p w14:paraId="357B248A">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 xml:space="preserve">（2）注册于中华人民共和国的企业法人营业执照复印件、开户许可证（若是代理商投标，还需提供生产厂家授权委托书及生产厂家营业执照复印件）； </w:t>
      </w:r>
    </w:p>
    <w:p w14:paraId="643983C2">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（3）矿山安全生产许可证、采矿许可证</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运输单位道路运输许可证</w:t>
      </w:r>
      <w:r>
        <w:rPr>
          <w:rFonts w:hint="eastAsia" w:ascii="宋体" w:hAnsi="宋体" w:eastAsia="宋体" w:cs="宋体"/>
          <w:sz w:val="24"/>
          <w:szCs w:val="24"/>
        </w:rPr>
        <w:t>；</w:t>
      </w:r>
    </w:p>
    <w:p w14:paraId="4FE8B77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提供202</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年财务报告中的资产负债表、利润表、现金流量表。</w:t>
      </w:r>
    </w:p>
    <w:p w14:paraId="53E0E484">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提供至少3例近3年承揽类似项目的合同及发票复印件。</w:t>
      </w:r>
    </w:p>
    <w:p w14:paraId="6F989DE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提供信用中国（http://www.creditchina.gov.cn）平台上查询的信用报告，以及近3年在生产经营活动中没有重大违法记录的书面声明。</w:t>
      </w:r>
    </w:p>
    <w:p w14:paraId="48B635CA">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第三方检测报告（若有）、出厂检测报告</w:t>
      </w:r>
    </w:p>
    <w:p w14:paraId="14EF5362">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8</w:t>
      </w:r>
      <w:r>
        <w:rPr>
          <w:rFonts w:hint="eastAsia" w:ascii="宋体" w:hAnsi="宋体" w:eastAsia="宋体" w:cs="宋体"/>
          <w:sz w:val="24"/>
          <w:szCs w:val="24"/>
        </w:rPr>
        <w:t>）投标报名函(见附件)。</w:t>
      </w:r>
    </w:p>
    <w:p w14:paraId="0EEA5398">
      <w:pPr>
        <w:pStyle w:val="30"/>
        <w:widowControl/>
        <w:shd w:val="clear" w:color="auto" w:fill="FFFFFF"/>
        <w:spacing w:beforeAutospacing="0" w:afterAutospacing="0" w:line="360" w:lineRule="auto"/>
        <w:rPr>
          <w:rFonts w:hint="eastAsia" w:ascii="宋体" w:hAnsi="宋体" w:eastAsia="宋体" w:cs="宋体"/>
          <w:b/>
          <w:sz w:val="24"/>
          <w:szCs w:val="24"/>
        </w:rPr>
      </w:pPr>
      <w:r>
        <w:rPr>
          <w:rFonts w:hint="eastAsia" w:ascii="宋体" w:hAnsi="宋体" w:eastAsia="宋体" w:cs="宋体"/>
          <w:b/>
          <w:sz w:val="24"/>
          <w:szCs w:val="24"/>
        </w:rPr>
        <w:t xml:space="preserve">五、报名时间及方式 </w:t>
      </w:r>
    </w:p>
    <w:p w14:paraId="3F948150">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1、报名时间</w:t>
      </w: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26日</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日，8:</w:t>
      </w:r>
      <w:r>
        <w:rPr>
          <w:rFonts w:hint="eastAsia" w:ascii="宋体" w:hAnsi="宋体" w:eastAsia="宋体" w:cs="宋体"/>
          <w:sz w:val="24"/>
          <w:szCs w:val="24"/>
        </w:rPr>
        <w:t>30—12:00,14:00—17:30（双休日、节假日除外，下同）</w:t>
      </w:r>
    </w:p>
    <w:p w14:paraId="667D861C">
      <w:pPr>
        <w:pStyle w:val="30"/>
        <w:widowControl/>
        <w:shd w:val="clear" w:color="auto" w:fill="FFFFFF"/>
        <w:spacing w:beforeAutospacing="0" w:afterAutospacing="0" w:line="360" w:lineRule="auto"/>
        <w:rPr>
          <w:rFonts w:hint="eastAsia" w:ascii="宋体" w:hAnsi="宋体" w:eastAsia="宋体" w:cs="宋体"/>
          <w:sz w:val="24"/>
          <w:szCs w:val="24"/>
          <w:highlight w:val="none"/>
          <w:lang w:eastAsia="zh-CN"/>
        </w:rPr>
      </w:pPr>
      <w:r>
        <w:rPr>
          <w:rFonts w:hint="eastAsia" w:ascii="宋体" w:hAnsi="宋体" w:eastAsia="宋体" w:cs="宋体"/>
          <w:sz w:val="24"/>
          <w:szCs w:val="24"/>
        </w:rPr>
        <w:t>2、报名方式：</w:t>
      </w:r>
      <w:r>
        <w:rPr>
          <w:rFonts w:hint="eastAsia" w:ascii="宋体" w:hAnsi="宋体" w:eastAsia="宋体" w:cs="宋体"/>
          <w:sz w:val="24"/>
          <w:szCs w:val="24"/>
          <w:highlight w:val="none"/>
        </w:rPr>
        <w:t>通过邮件的方式发送报名材料扫描件报名</w:t>
      </w:r>
      <w:r>
        <w:rPr>
          <w:rFonts w:hint="eastAsia" w:ascii="宋体" w:hAnsi="宋体" w:eastAsia="宋体" w:cs="宋体"/>
          <w:sz w:val="24"/>
          <w:szCs w:val="24"/>
          <w:highlight w:val="none"/>
          <w:lang w:eastAsia="zh-CN"/>
        </w:rPr>
        <w:t>。</w:t>
      </w:r>
    </w:p>
    <w:p w14:paraId="6419B862">
      <w:pPr>
        <w:pStyle w:val="30"/>
        <w:widowControl/>
        <w:shd w:val="clear" w:color="auto" w:fill="FFFFFF"/>
        <w:spacing w:beforeAutospacing="0" w:afterAutospacing="0"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、投标报名联系方式：</w:t>
      </w:r>
      <w:r>
        <w:rPr>
          <w:rFonts w:hint="eastAsia" w:ascii="宋体" w:hAnsi="宋体" w:eastAsia="宋体" w:cs="宋体"/>
          <w:sz w:val="24"/>
          <w:szCs w:val="24"/>
          <w:lang w:val="en-US" w:eastAsia="zh-CN"/>
        </w:rPr>
        <w:t>马源婧18728509373</w:t>
      </w:r>
      <w:r>
        <w:rPr>
          <w:rFonts w:hint="eastAsia" w:ascii="宋体" w:hAnsi="宋体" w:eastAsia="宋体" w:cs="宋体"/>
          <w:sz w:val="24"/>
          <w:szCs w:val="24"/>
        </w:rPr>
        <w:t xml:space="preserve"> Email:</w:t>
      </w:r>
      <w:r>
        <w:rPr>
          <w:rFonts w:hint="eastAsia" w:ascii="宋体" w:hAnsi="宋体" w:eastAsia="宋体" w:cs="宋体"/>
          <w:sz w:val="24"/>
          <w:szCs w:val="24"/>
          <w:lang w:val="en-US" w:eastAsia="zh-CN"/>
        </w:rPr>
        <w:t>mayuanjing</w:t>
      </w:r>
      <w:r>
        <w:rPr>
          <w:rFonts w:hint="eastAsia" w:ascii="宋体" w:hAnsi="宋体" w:eastAsia="宋体" w:cs="宋体"/>
          <w:sz w:val="24"/>
          <w:szCs w:val="24"/>
        </w:rPr>
        <w:t>@smglass.com.cn</w:t>
      </w:r>
    </w:p>
    <w:p w14:paraId="02C79A3C">
      <w:pPr>
        <w:pStyle w:val="30"/>
        <w:widowControl/>
        <w:shd w:val="clear" w:color="auto" w:fill="FFFFFF"/>
        <w:spacing w:beforeAutospacing="0" w:afterAutospacing="0" w:line="360" w:lineRule="auto"/>
        <w:rPr>
          <w:rFonts w:hint="eastAsia" w:ascii="宋体" w:hAnsi="宋体" w:eastAsia="宋体" w:cs="宋体"/>
          <w:b/>
          <w:sz w:val="24"/>
          <w:szCs w:val="24"/>
        </w:rPr>
      </w:pPr>
      <w:r>
        <w:rPr>
          <w:rFonts w:hint="eastAsia" w:ascii="宋体" w:hAnsi="宋体" w:eastAsia="宋体" w:cs="宋体"/>
          <w:b/>
          <w:sz w:val="24"/>
          <w:szCs w:val="24"/>
        </w:rPr>
        <w:t>六、投标文件发放</w:t>
      </w:r>
    </w:p>
    <w:p w14:paraId="38A6AA39">
      <w:pPr>
        <w:pStyle w:val="30"/>
        <w:widowControl/>
        <w:shd w:val="clear" w:color="auto" w:fill="FFFFFF"/>
        <w:spacing w:beforeAutospacing="0" w:afterAutospacing="0"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发放时间：</w:t>
      </w:r>
      <w:r>
        <w:rPr>
          <w:rFonts w:hint="eastAsia" w:ascii="宋体" w:hAnsi="宋体" w:eastAsia="宋体" w:cs="宋体"/>
          <w:sz w:val="24"/>
          <w:szCs w:val="24"/>
          <w:highlight w:val="none"/>
          <w:lang w:val="en-US" w:eastAsia="zh-CN"/>
        </w:rPr>
        <w:t>2026年10月30日下午17:30，本项目投标文件将发送至报名资料上的邮箱地址</w:t>
      </w:r>
      <w:r>
        <w:rPr>
          <w:rFonts w:hint="eastAsia" w:ascii="宋体" w:hAnsi="宋体" w:eastAsia="宋体" w:cs="宋体"/>
          <w:sz w:val="24"/>
          <w:szCs w:val="24"/>
          <w:lang w:val="en-US" w:eastAsia="zh-CN"/>
        </w:rPr>
        <w:t>。</w:t>
      </w:r>
    </w:p>
    <w:p w14:paraId="14824FB1">
      <w:pPr>
        <w:pStyle w:val="30"/>
        <w:widowControl/>
        <w:shd w:val="clear" w:color="auto" w:fill="FFFFFF"/>
        <w:spacing w:beforeAutospacing="0" w:afterAutospacing="0" w:line="360" w:lineRule="auto"/>
        <w:rPr>
          <w:rFonts w:hint="eastAsia" w:ascii="宋体" w:hAnsi="宋体" w:eastAsia="宋体" w:cs="宋体"/>
          <w:b/>
          <w:sz w:val="24"/>
          <w:szCs w:val="24"/>
        </w:rPr>
      </w:pPr>
      <w:r>
        <w:rPr>
          <w:rFonts w:hint="eastAsia" w:ascii="宋体" w:hAnsi="宋体" w:eastAsia="宋体" w:cs="宋体"/>
          <w:b/>
          <w:sz w:val="24"/>
          <w:szCs w:val="24"/>
        </w:rPr>
        <w:t>七、投标文件的组成、要求及递交</w:t>
      </w:r>
    </w:p>
    <w:p w14:paraId="6720D58B">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1、投标书组成</w:t>
      </w:r>
    </w:p>
    <w:p w14:paraId="18FE89E6">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（1）投标书及投标书目录</w:t>
      </w:r>
    </w:p>
    <w:p w14:paraId="593E3D03">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（2）投标须知</w:t>
      </w:r>
    </w:p>
    <w:p w14:paraId="1FC6896D">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（3）投标文件要求提供的所有资料</w:t>
      </w:r>
    </w:p>
    <w:p w14:paraId="37411DFE">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（4）投标报价表</w:t>
      </w:r>
    </w:p>
    <w:p w14:paraId="792905B5">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2、投标书的签署、密封及标记</w:t>
      </w:r>
    </w:p>
    <w:p w14:paraId="6D2994B9">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（1）投标书的签署：投标书须由投标人的法定代表人或委托代理人签署；电话、传真、邮件、微信、QQ等形式送达的投标书不予接受。</w:t>
      </w:r>
    </w:p>
    <w:p w14:paraId="019267D1">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（2）投标书的密封与标记：投标书须密封完好，须在封口处加盖投标单位公章，并确保投标书标记清晰。</w:t>
      </w:r>
    </w:p>
    <w:p w14:paraId="4B4B7436">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3、投标书的递交及截止日期：</w:t>
      </w:r>
      <w:r>
        <w:rPr>
          <w:rFonts w:hint="eastAsia" w:ascii="宋体" w:hAnsi="宋体" w:eastAsia="宋体" w:cs="宋体"/>
          <w:sz w:val="24"/>
          <w:szCs w:val="24"/>
          <w:highlight w:val="none"/>
        </w:rPr>
        <w:t>投标书递交截止日期为202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16</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09</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w:t>
      </w:r>
      <w:r>
        <w:rPr>
          <w:rFonts w:hint="eastAsia" w:ascii="宋体" w:hAnsi="宋体" w:eastAsia="宋体" w:cs="宋体"/>
          <w:sz w:val="24"/>
          <w:szCs w:val="24"/>
        </w:rPr>
        <w:t>前。投标人须在招标人规定的投标截止日期之前将投标书邮寄或送至招标人处，截止投标日期之后的投标文件，做废标处理。若投标人发现投标书有误，需在投标截止日期前用正式函件更正，否则以原投标书为准。</w:t>
      </w:r>
    </w:p>
    <w:p w14:paraId="3B0C1412">
      <w:pPr>
        <w:pStyle w:val="30"/>
        <w:widowControl/>
        <w:shd w:val="clear" w:color="auto" w:fill="FFFFFF"/>
        <w:spacing w:beforeAutospacing="0" w:afterAutospacing="0" w:line="360" w:lineRule="auto"/>
        <w:rPr>
          <w:rFonts w:hint="eastAsia" w:ascii="宋体" w:hAnsi="宋体" w:eastAsia="宋体" w:cs="宋体"/>
          <w:b/>
          <w:sz w:val="24"/>
          <w:szCs w:val="24"/>
        </w:rPr>
      </w:pPr>
      <w:r>
        <w:rPr>
          <w:rFonts w:hint="eastAsia" w:ascii="宋体" w:hAnsi="宋体" w:eastAsia="宋体" w:cs="宋体"/>
          <w:b/>
          <w:sz w:val="24"/>
          <w:szCs w:val="24"/>
        </w:rPr>
        <w:t>八、开标日期及地点、评标办法、中标、合同签订</w:t>
      </w:r>
    </w:p>
    <w:p w14:paraId="27843D5D">
      <w:pPr>
        <w:pStyle w:val="30"/>
        <w:widowControl/>
        <w:shd w:val="clear" w:color="auto" w:fill="FFFFFF"/>
        <w:spacing w:beforeAutospacing="0" w:afterAutospacing="0" w:line="360" w:lineRule="auto"/>
        <w:rPr>
          <w:rFonts w:hint="eastAsia" w:ascii="宋体" w:hAnsi="宋体" w:eastAsia="宋体" w:cs="宋体"/>
          <w:sz w:val="24"/>
          <w:szCs w:val="24"/>
          <w:highlight w:val="none"/>
        </w:rPr>
      </w:pPr>
      <w:r>
        <w:rPr>
          <w:rFonts w:hint="eastAsia" w:ascii="宋体" w:hAnsi="宋体" w:eastAsia="宋体" w:cs="宋体"/>
          <w:sz w:val="24"/>
          <w:szCs w:val="24"/>
        </w:rPr>
        <w:t>1、开标日期：</w:t>
      </w:r>
      <w:r>
        <w:rPr>
          <w:rFonts w:hint="eastAsia" w:ascii="宋体" w:hAnsi="宋体" w:eastAsia="宋体" w:cs="宋体"/>
          <w:sz w:val="24"/>
          <w:szCs w:val="24"/>
          <w:highlight w:val="none"/>
        </w:rPr>
        <w:t>拟定于202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16</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09</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0时，若有变动另行通知。</w:t>
      </w:r>
    </w:p>
    <w:p w14:paraId="32436505">
      <w:pPr>
        <w:tabs>
          <w:tab w:val="left" w:pos="540"/>
        </w:tabs>
        <w:adjustRightInd w:val="0"/>
        <w:snapToGrid w:val="0"/>
        <w:spacing w:after="0" w:line="460" w:lineRule="exact"/>
        <w:rPr>
          <w:rFonts w:hint="eastAsia" w:ascii="宋体" w:hAnsi="宋体" w:eastAsia="宋体" w:cs="宋体"/>
          <w:color w:val="FF0000"/>
          <w:sz w:val="24"/>
          <w:szCs w:val="24"/>
          <w:highlight w:val="yellow"/>
          <w:lang w:val="en-US" w:eastAsia="zh-CN"/>
        </w:rPr>
      </w:pPr>
      <w:r>
        <w:rPr>
          <w:rFonts w:hint="eastAsia" w:ascii="宋体" w:hAnsi="宋体" w:eastAsia="宋体" w:cs="宋体"/>
          <w:sz w:val="24"/>
          <w:szCs w:val="24"/>
        </w:rPr>
        <w:t>2、开标地点：</w:t>
      </w:r>
      <w:r>
        <w:rPr>
          <w:rFonts w:hint="eastAsia" w:ascii="宋体" w:hAnsi="宋体" w:eastAsia="宋体" w:cs="宋体"/>
          <w:color w:val="FF0000"/>
          <w:sz w:val="24"/>
          <w:szCs w:val="24"/>
          <w:highlight w:val="none"/>
          <w:lang w:val="en-US" w:eastAsia="zh-CN"/>
        </w:rPr>
        <w:t>招标人不组织投标单位进行现场开标。</w:t>
      </w:r>
    </w:p>
    <w:p w14:paraId="1262D5B9">
      <w:pPr>
        <w:pStyle w:val="30"/>
        <w:widowControl/>
        <w:shd w:val="clear" w:color="auto" w:fill="FFFFFF"/>
        <w:spacing w:beforeAutospacing="0" w:afterAutospacing="0" w:line="360" w:lineRule="auto"/>
        <w:rPr>
          <w:rFonts w:hint="eastAsia" w:ascii="宋体" w:hAnsi="宋体" w:eastAsia="宋体" w:cs="宋体"/>
          <w:b/>
          <w:sz w:val="24"/>
          <w:szCs w:val="24"/>
        </w:rPr>
      </w:pPr>
      <w:r>
        <w:rPr>
          <w:rFonts w:hint="eastAsia" w:ascii="宋体" w:hAnsi="宋体" w:eastAsia="宋体" w:cs="宋体"/>
          <w:sz w:val="24"/>
          <w:szCs w:val="24"/>
        </w:rPr>
        <w:t>3、评标办法、中标、合同签订（详见招标文件）。招标方评标委员会对投标人投标资料进行综合评审后，择优选择中标人。招标人对未中标的投标人不作任何未中标的原因解释，招标人对投标书实行保密管理，概不退还。</w:t>
      </w:r>
    </w:p>
    <w:p w14:paraId="1027C6CC">
      <w:pPr>
        <w:pStyle w:val="30"/>
        <w:widowControl/>
        <w:shd w:val="clear" w:color="auto" w:fill="FFFFFF"/>
        <w:spacing w:beforeAutospacing="0" w:afterAutospacing="0" w:line="360" w:lineRule="auto"/>
        <w:rPr>
          <w:rFonts w:hint="eastAsia" w:ascii="宋体" w:hAnsi="宋体" w:eastAsia="宋体" w:cs="宋体"/>
          <w:b/>
          <w:sz w:val="24"/>
          <w:szCs w:val="24"/>
        </w:rPr>
      </w:pPr>
      <w:r>
        <w:rPr>
          <w:rFonts w:hint="eastAsia" w:ascii="宋体" w:hAnsi="宋体" w:eastAsia="宋体" w:cs="宋体"/>
          <w:b/>
          <w:sz w:val="24"/>
          <w:szCs w:val="24"/>
        </w:rPr>
        <w:t>九、发布公告的媒介</w:t>
      </w:r>
    </w:p>
    <w:p w14:paraId="39BB7F75">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1、本次招标公告</w:t>
      </w:r>
      <w:r>
        <w:rPr>
          <w:rFonts w:hint="eastAsia" w:ascii="宋体" w:hAnsi="宋体" w:eastAsia="宋体" w:cs="宋体"/>
          <w:sz w:val="24"/>
          <w:szCs w:val="24"/>
          <w:highlight w:val="none"/>
        </w:rPr>
        <w:t>于20</w:t>
      </w:r>
      <w:r>
        <w:rPr>
          <w:rFonts w:hint="eastAsia" w:ascii="宋体" w:hAnsi="宋体" w:eastAsia="宋体" w:cs="宋体"/>
          <w:sz w:val="24"/>
          <w:szCs w:val="24"/>
          <w:highlight w:val="none"/>
          <w:lang w:val="en-US" w:eastAsia="zh-CN"/>
        </w:rPr>
        <w:t>26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26</w:t>
      </w:r>
      <w:r>
        <w:rPr>
          <w:rFonts w:hint="eastAsia" w:ascii="宋体" w:hAnsi="宋体" w:eastAsia="宋体" w:cs="宋体"/>
          <w:sz w:val="24"/>
          <w:szCs w:val="24"/>
          <w:highlight w:val="none"/>
        </w:rPr>
        <w:t>日</w:t>
      </w:r>
      <w:r>
        <w:rPr>
          <w:rFonts w:hint="eastAsia" w:ascii="宋体" w:hAnsi="宋体" w:eastAsia="宋体" w:cs="宋体"/>
          <w:sz w:val="24"/>
          <w:szCs w:val="24"/>
        </w:rPr>
        <w:t>在招标方公司网站（http:// smglass.com.cn）、舍得酒业股份有限公司官网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"http://www.tuopaishede.cn" </w:instrText>
      </w:r>
      <w:r>
        <w:rPr>
          <w:rFonts w:hint="eastAsia" w:ascii="宋体" w:hAnsi="宋体" w:eastAsia="宋体" w:cs="宋体"/>
          <w:sz w:val="24"/>
          <w:szCs w:val="24"/>
        </w:rPr>
        <w:fldChar w:fldCharType="separate"/>
      </w:r>
      <w:r>
        <w:rPr>
          <w:rFonts w:hint="eastAsia" w:ascii="宋体" w:hAnsi="宋体" w:eastAsia="宋体" w:cs="宋体"/>
          <w:sz w:val="24"/>
          <w:szCs w:val="24"/>
        </w:rPr>
        <w:t>http://www.tuopaishede.cn</w:t>
      </w:r>
      <w:r>
        <w:rPr>
          <w:rFonts w:hint="eastAsia" w:ascii="宋体" w:hAnsi="宋体" w:eastAsia="宋体" w:cs="宋体"/>
          <w:sz w:val="24"/>
          <w:szCs w:val="24"/>
        </w:rPr>
        <w:fldChar w:fldCharType="end"/>
      </w:r>
      <w:r>
        <w:rPr>
          <w:rFonts w:hint="eastAsia" w:ascii="宋体" w:hAnsi="宋体" w:eastAsia="宋体" w:cs="宋体"/>
          <w:sz w:val="24"/>
          <w:szCs w:val="24"/>
        </w:rPr>
        <w:t>、中国招标采购导航网（http://www.okcis.cn）及相关微信平台发布。</w:t>
      </w:r>
    </w:p>
    <w:p w14:paraId="14DA6C8C">
      <w:pPr>
        <w:pStyle w:val="30"/>
        <w:widowControl/>
        <w:shd w:val="clear" w:color="auto" w:fill="FFFFFF"/>
        <w:spacing w:beforeAutospacing="0" w:afterAutospacing="0" w:line="360" w:lineRule="auto"/>
        <w:rPr>
          <w:rFonts w:hint="eastAsia" w:ascii="宋体" w:hAnsi="宋体" w:eastAsia="宋体" w:cs="宋体"/>
          <w:sz w:val="24"/>
          <w:szCs w:val="24"/>
        </w:rPr>
      </w:pPr>
      <w:r>
        <w:rPr>
          <w:rFonts w:hint="eastAsia" w:ascii="宋体" w:hAnsi="宋体" w:eastAsia="宋体" w:cs="宋体"/>
          <w:sz w:val="24"/>
          <w:szCs w:val="24"/>
        </w:rPr>
        <w:t>2、本公告有效期截止至开标当日18:00。</w:t>
      </w:r>
    </w:p>
    <w:p w14:paraId="0953FC75">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十、附件</w:t>
      </w:r>
    </w:p>
    <w:p w14:paraId="1607B2FF">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投标报名函</w:t>
      </w:r>
    </w:p>
    <w:p w14:paraId="47F2388D">
      <w:pPr>
        <w:pStyle w:val="30"/>
        <w:widowControl/>
        <w:shd w:val="clear" w:color="auto" w:fill="FFFFFF"/>
        <w:spacing w:beforeAutospacing="0" w:afterAutospacing="0" w:line="360" w:lineRule="auto"/>
        <w:rPr>
          <w:rFonts w:hint="eastAsia" w:ascii="宋体" w:hAnsi="宋体" w:eastAsia="宋体" w:cs="宋体"/>
          <w:sz w:val="24"/>
          <w:szCs w:val="24"/>
        </w:rPr>
      </w:pPr>
    </w:p>
    <w:p w14:paraId="3B438DF2">
      <w:pPr>
        <w:pStyle w:val="30"/>
        <w:widowControl/>
        <w:shd w:val="clear" w:color="auto" w:fill="FFFFFF"/>
        <w:spacing w:beforeAutospacing="0" w:afterAutospacing="0" w:line="360" w:lineRule="auto"/>
        <w:rPr>
          <w:rFonts w:hint="eastAsia" w:ascii="宋体" w:hAnsi="宋体" w:eastAsia="宋体" w:cs="宋体"/>
          <w:sz w:val="24"/>
          <w:szCs w:val="24"/>
          <w:lang w:val="en-US" w:eastAsia="zh-CN"/>
        </w:rPr>
      </w:pPr>
    </w:p>
    <w:p w14:paraId="2C3346FA">
      <w:pPr>
        <w:shd w:val="clear" w:color="auto" w:fill="FFFFFF"/>
        <w:overflowPunct w:val="0"/>
        <w:adjustRightInd w:val="0"/>
        <w:snapToGrid w:val="0"/>
        <w:spacing w:line="360" w:lineRule="auto"/>
        <w:ind w:right="280"/>
        <w:jc w:val="right"/>
        <w:rPr>
          <w:rFonts w:hint="eastAsia" w:ascii="宋体" w:hAnsi="宋体" w:eastAsia="宋体" w:cs="宋体"/>
          <w:b/>
          <w:color w:val="000000" w:themeColor="text1"/>
          <w:sz w:val="24"/>
          <w:szCs w:val="24"/>
          <w:lang w:eastAsia="zh-CN"/>
          <w14:textFill>
            <w14:solidFill>
              <w14:schemeClr w14:val="tx1"/>
            </w14:solidFill>
          </w14:textFill>
        </w:rPr>
      </w:pPr>
    </w:p>
    <w:p w14:paraId="6F123139">
      <w:pPr>
        <w:shd w:val="clear" w:color="auto" w:fill="FFFFFF"/>
        <w:overflowPunct w:val="0"/>
        <w:adjustRightInd w:val="0"/>
        <w:snapToGrid w:val="0"/>
        <w:spacing w:line="360" w:lineRule="auto"/>
        <w:ind w:right="280"/>
        <w:jc w:val="right"/>
        <w:rPr>
          <w:rFonts w:hint="eastAsia" w:ascii="宋体" w:hAnsi="宋体" w:eastAsia="宋体" w:cs="宋体"/>
          <w:b/>
          <w:color w:val="000000" w:themeColor="text1"/>
          <w:sz w:val="24"/>
          <w:szCs w:val="24"/>
          <w:lang w:eastAsia="zh-CN"/>
          <w14:textFill>
            <w14:solidFill>
              <w14:schemeClr w14:val="tx1"/>
            </w14:solidFill>
          </w14:textFill>
        </w:rPr>
      </w:pPr>
      <w:r>
        <w:rPr>
          <w:rFonts w:hint="eastAsia" w:ascii="宋体" w:hAnsi="宋体" w:eastAsia="宋体" w:cs="宋体"/>
          <w:b/>
          <w:color w:val="000000" w:themeColor="text1"/>
          <w:sz w:val="24"/>
          <w:szCs w:val="24"/>
          <w:lang w:eastAsia="zh-CN"/>
          <w14:textFill>
            <w14:solidFill>
              <w14:schemeClr w14:val="tx1"/>
            </w14:solidFill>
          </w14:textFill>
        </w:rPr>
        <w:t>四川天马玻璃有限公司</w:t>
      </w:r>
    </w:p>
    <w:p w14:paraId="12246EA9">
      <w:pPr>
        <w:jc w:val="right"/>
        <w:rPr>
          <w:rFonts w:hint="eastAsia" w:ascii="宋体" w:hAnsi="宋体" w:eastAsia="宋体" w:cs="宋体"/>
          <w:sz w:val="24"/>
          <w:szCs w:val="24"/>
          <w:highlight w:val="none"/>
        </w:rPr>
      </w:pPr>
      <w:r>
        <w:rPr>
          <w:rFonts w:hint="eastAsia" w:ascii="宋体" w:hAnsi="宋体" w:eastAsia="宋体" w:cs="宋体"/>
          <w:b/>
          <w:color w:val="000000" w:themeColor="text1"/>
          <w:sz w:val="24"/>
          <w:szCs w:val="24"/>
          <w:lang w:eastAsia="zh-CN"/>
          <w14:textFill>
            <w14:solidFill>
              <w14:schemeClr w14:val="tx1"/>
            </w14:solidFill>
          </w14:textFill>
        </w:rPr>
        <w:t xml:space="preserve">                                  </w:t>
      </w:r>
      <w:r>
        <w:rPr>
          <w:rFonts w:hint="eastAsia" w:ascii="宋体" w:hAnsi="宋体" w:eastAsia="宋体" w:cs="宋体"/>
          <w:b/>
          <w:color w:val="000000" w:themeColor="text1"/>
          <w:sz w:val="24"/>
          <w:szCs w:val="24"/>
          <w:highlight w:val="none"/>
          <w:lang w:eastAsia="zh-CN"/>
          <w14:textFill>
            <w14:solidFill>
              <w14:schemeClr w14:val="tx1"/>
            </w14:solidFill>
          </w14:textFill>
        </w:rPr>
        <w:t xml:space="preserve">   二0</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二六</w:t>
      </w:r>
      <w:r>
        <w:rPr>
          <w:rFonts w:hint="eastAsia" w:ascii="宋体" w:hAnsi="宋体" w:eastAsia="宋体" w:cs="宋体"/>
          <w:b/>
          <w:color w:val="000000" w:themeColor="text1"/>
          <w:sz w:val="24"/>
          <w:szCs w:val="24"/>
          <w:highlight w:val="none"/>
          <w:lang w:eastAsia="zh-CN"/>
          <w14:textFill>
            <w14:solidFill>
              <w14:schemeClr w14:val="tx1"/>
            </w14:solidFill>
          </w14:textFill>
        </w:rPr>
        <w:t>年</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十</w:t>
      </w:r>
      <w:r>
        <w:rPr>
          <w:rFonts w:hint="eastAsia" w:ascii="宋体" w:hAnsi="宋体" w:eastAsia="宋体" w:cs="宋体"/>
          <w:b/>
          <w:color w:val="000000" w:themeColor="text1"/>
          <w:sz w:val="24"/>
          <w:szCs w:val="24"/>
          <w:highlight w:val="none"/>
          <w:lang w:eastAsia="zh-CN"/>
          <w14:textFill>
            <w14:solidFill>
              <w14:schemeClr w14:val="tx1"/>
            </w14:solidFill>
          </w14:textFill>
        </w:rPr>
        <w:t>月</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二十六</w:t>
      </w:r>
      <w:r>
        <w:rPr>
          <w:rFonts w:hint="eastAsia" w:ascii="宋体" w:hAnsi="宋体" w:eastAsia="宋体" w:cs="宋体"/>
          <w:b/>
          <w:color w:val="000000" w:themeColor="text1"/>
          <w:sz w:val="24"/>
          <w:szCs w:val="24"/>
          <w:highlight w:val="none"/>
          <w:lang w:eastAsia="zh-CN"/>
          <w14:textFill>
            <w14:solidFill>
              <w14:schemeClr w14:val="tx1"/>
            </w14:solidFill>
          </w14:textFill>
        </w:rPr>
        <w:t>日</w:t>
      </w:r>
    </w:p>
    <w:p w14:paraId="4CB17766">
      <w:pPr>
        <w:shd w:val="clear" w:color="auto" w:fill="FFFFFF"/>
        <w:overflowPunct w:val="0"/>
        <w:adjustRightInd w:val="0"/>
        <w:snapToGrid w:val="0"/>
        <w:spacing w:line="360" w:lineRule="auto"/>
        <w:ind w:right="280" w:firstLine="5760" w:firstLineChars="2400"/>
        <w:jc w:val="both"/>
        <w:rPr>
          <w:rFonts w:hint="eastAsia" w:ascii="宋体" w:hAnsi="宋体" w:eastAsia="宋体" w:cs="宋体"/>
          <w:b w:val="0"/>
          <w:bCs/>
          <w:color w:val="000000" w:themeColor="text1"/>
          <w:sz w:val="24"/>
          <w:szCs w:val="24"/>
          <w:lang w:eastAsia="zh-CN"/>
          <w14:textFill>
            <w14:solidFill>
              <w14:schemeClr w14:val="tx1"/>
            </w14:solidFill>
          </w14:textFill>
        </w:rPr>
      </w:pPr>
    </w:p>
    <w:bookmarkEnd w:id="0"/>
    <w:bookmarkEnd w:id="1"/>
    <w:bookmarkEnd w:id="2"/>
    <w:bookmarkEnd w:id="3"/>
    <w:p w14:paraId="2D38A5F7">
      <w:pPr>
        <w:spacing w:line="240" w:lineRule="auto"/>
        <w:rPr>
          <w:sz w:val="28"/>
          <w:szCs w:val="28"/>
        </w:rPr>
      </w:pPr>
      <w:bookmarkStart w:id="4" w:name="_GoBack"/>
      <w:bookmarkEnd w:id="4"/>
    </w:p>
    <w:sectPr>
      <w:headerReference r:id="rId6" w:type="first"/>
      <w:headerReference r:id="rId5" w:type="default"/>
      <w:footerReference r:id="rId7" w:type="default"/>
      <w:pgSz w:w="11906" w:h="16838"/>
      <w:pgMar w:top="993" w:right="1134" w:bottom="709" w:left="1134" w:header="794" w:footer="283"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华文行楷">
    <w:altName w:val="微软雅黑"/>
    <w:panose1 w:val="0201080004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07260"/>
    </w:sdtPr>
    <w:sdtContent>
      <w:p w14:paraId="719D4359">
        <w:pPr>
          <w:pStyle w:val="22"/>
          <w:jc w:val="center"/>
        </w:pPr>
        <w:r>
          <w:fldChar w:fldCharType="begin"/>
        </w:r>
        <w:r>
          <w:instrText xml:space="preserve"> PAGE   \* MERGEFORMAT </w:instrText>
        </w:r>
        <w:r>
          <w:fldChar w:fldCharType="separate"/>
        </w:r>
        <w:r>
          <w:rPr>
            <w:lang w:val="zh-CN"/>
          </w:rPr>
          <w:t>5</w:t>
        </w:r>
        <w:r>
          <w:rPr>
            <w:lang w:val="zh-CN"/>
          </w:rPr>
          <w:fldChar w:fldCharType="end"/>
        </w:r>
      </w:p>
    </w:sdtContent>
  </w:sdt>
  <w:p w14:paraId="392DA135">
    <w:pPr>
      <w:pStyle w:val="2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7A562">
    <w:pPr>
      <w:pStyle w:val="23"/>
      <w:ind w:right="420"/>
      <w:jc w:val="left"/>
      <w:rPr>
        <w:lang w:eastAsia="zh-CN"/>
      </w:rPr>
    </w:pPr>
    <w:r>
      <w:rPr>
        <w:sz w:val="21"/>
        <w:szCs w:val="21"/>
        <w:lang w:eastAsia="zh-CN" w:bidi="ar-SA"/>
      </w:rPr>
      <w:drawing>
        <wp:inline distT="0" distB="0" distL="0" distR="0">
          <wp:extent cx="209550" cy="191770"/>
          <wp:effectExtent l="0" t="0" r="0" b="0"/>
          <wp:docPr id="2" name="图片 2" descr="C:\Users\Administrator\Desktop\天马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天马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09550" cy="192360"/>
                  </a:xfrm>
                  <a:prstGeom prst="rect">
                    <a:avLst/>
                  </a:prstGeom>
                  <a:noFill/>
                  <a:ln>
                    <a:noFill/>
                  </a:ln>
                </pic:spPr>
              </pic:pic>
            </a:graphicData>
          </a:graphic>
        </wp:inline>
      </w:drawing>
    </w:r>
    <w:r>
      <w:rPr>
        <w:rFonts w:hint="eastAsia"/>
        <w:sz w:val="21"/>
        <w:szCs w:val="21"/>
        <w:lang w:eastAsia="zh-CN"/>
      </w:rPr>
      <w:t xml:space="preserve"> 四川天马玻璃有限公司                          招标编号：</w:t>
    </w:r>
    <w:r>
      <w:rPr>
        <w:rFonts w:hint="eastAsia"/>
        <w:bCs/>
        <w:sz w:val="24"/>
      </w:rPr>
      <w:t>天马司招（</w:t>
    </w:r>
    <w:r>
      <w:rPr>
        <w:rFonts w:hint="eastAsia"/>
        <w:bCs/>
        <w:sz w:val="24"/>
        <w:lang w:eastAsia="zh-CN"/>
      </w:rPr>
      <w:t>2026</w:t>
    </w:r>
    <w:r>
      <w:rPr>
        <w:rFonts w:hint="eastAsia"/>
        <w:bCs/>
        <w:sz w:val="24"/>
      </w:rPr>
      <w:t>）CG-0</w:t>
    </w:r>
    <w:r>
      <w:rPr>
        <w:rFonts w:hint="eastAsia"/>
        <w:bCs/>
        <w:sz w:val="24"/>
        <w:lang w:val="en-US" w:eastAsia="zh-CN"/>
      </w:rPr>
      <w:t>13</w:t>
    </w:r>
    <w:r>
      <w:rPr>
        <w:rFonts w:hint="eastAsia"/>
        <w:bCs/>
        <w:sz w:val="24"/>
      </w:rPr>
      <w:t>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6DF11">
    <w:pPr>
      <w:pStyle w:val="23"/>
      <w:jc w:val="left"/>
      <w:rPr>
        <w:sz w:val="21"/>
        <w:szCs w:val="21"/>
        <w:lang w:eastAsia="zh-CN"/>
      </w:rPr>
    </w:pPr>
    <w:r>
      <w:rPr>
        <w:sz w:val="21"/>
        <w:szCs w:val="21"/>
        <w:lang w:eastAsia="zh-CN" w:bidi="ar-SA"/>
      </w:rPr>
      <w:drawing>
        <wp:inline distT="0" distB="0" distL="0" distR="0">
          <wp:extent cx="209550" cy="191770"/>
          <wp:effectExtent l="0" t="0" r="0" b="0"/>
          <wp:docPr id="1" name="图片 1" descr="C:\Users\Administrator\Desktop\天马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天马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09550" cy="192360"/>
                  </a:xfrm>
                  <a:prstGeom prst="rect">
                    <a:avLst/>
                  </a:prstGeom>
                  <a:noFill/>
                  <a:ln>
                    <a:noFill/>
                  </a:ln>
                </pic:spPr>
              </pic:pic>
            </a:graphicData>
          </a:graphic>
        </wp:inline>
      </w:drawing>
    </w:r>
    <w:r>
      <w:rPr>
        <w:rFonts w:hint="eastAsia"/>
        <w:sz w:val="21"/>
        <w:szCs w:val="21"/>
        <w:lang w:eastAsia="zh-CN"/>
      </w:rPr>
      <w:t xml:space="preserve"> 四川天马玻璃有限公司                             招标编号：</w:t>
    </w:r>
    <w:r>
      <w:rPr>
        <w:rFonts w:hint="eastAsia"/>
        <w:bCs/>
        <w:sz w:val="24"/>
      </w:rPr>
      <w:t>天马司招（202</w:t>
    </w:r>
    <w:r>
      <w:rPr>
        <w:rFonts w:hint="eastAsia"/>
        <w:bCs/>
        <w:sz w:val="24"/>
        <w:lang w:val="en-US" w:eastAsia="zh-CN"/>
      </w:rPr>
      <w:t>6</w:t>
    </w:r>
    <w:r>
      <w:rPr>
        <w:rFonts w:hint="eastAsia"/>
        <w:bCs/>
        <w:sz w:val="24"/>
      </w:rPr>
      <w:t>）CG-0</w:t>
    </w:r>
    <w:r>
      <w:rPr>
        <w:rFonts w:hint="eastAsia"/>
        <w:bCs/>
        <w:sz w:val="24"/>
        <w:lang w:val="en-US" w:eastAsia="zh-CN"/>
      </w:rPr>
      <w:t>13</w:t>
    </w:r>
    <w:r>
      <w:rPr>
        <w:rFonts w:hint="eastAsia"/>
        <w:bCs/>
        <w:sz w:val="24"/>
      </w:rPr>
      <w:t>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A47625"/>
    <w:multiLevelType w:val="multilevel"/>
    <w:tmpl w:val="39A47625"/>
    <w:lvl w:ilvl="0" w:tentative="0">
      <w:start w:val="1"/>
      <w:numFmt w:val="japaneseCounting"/>
      <w:lvlText w:val="%1、"/>
      <w:lvlJc w:val="left"/>
      <w:pPr>
        <w:ind w:left="720" w:hanging="720"/>
      </w:pPr>
      <w:rPr>
        <w:rFonts w:hint="default" w:ascii="宋体" w:hAnsi="宋体" w:eastAsia="宋体" w:cs="Times New Roman"/>
        <w:color w:val="auto"/>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4OWQzNWRkMTAxMmExYTY3NTEwNGVhZjVkMjUyY2IifQ=="/>
  </w:docVars>
  <w:rsids>
    <w:rsidRoot w:val="00093D70"/>
    <w:rsid w:val="00015BAF"/>
    <w:rsid w:val="000235EA"/>
    <w:rsid w:val="00086B58"/>
    <w:rsid w:val="00093D70"/>
    <w:rsid w:val="000B2C95"/>
    <w:rsid w:val="000B3DC1"/>
    <w:rsid w:val="000C77D6"/>
    <w:rsid w:val="000F2F63"/>
    <w:rsid w:val="000F5A62"/>
    <w:rsid w:val="00117824"/>
    <w:rsid w:val="001347E8"/>
    <w:rsid w:val="00147CF5"/>
    <w:rsid w:val="00160F9C"/>
    <w:rsid w:val="00161193"/>
    <w:rsid w:val="001A3905"/>
    <w:rsid w:val="001B46EB"/>
    <w:rsid w:val="001C265E"/>
    <w:rsid w:val="001C7CFE"/>
    <w:rsid w:val="001F7CC1"/>
    <w:rsid w:val="002012CB"/>
    <w:rsid w:val="00202FF9"/>
    <w:rsid w:val="002234B6"/>
    <w:rsid w:val="00223C3E"/>
    <w:rsid w:val="002310FB"/>
    <w:rsid w:val="00234FE9"/>
    <w:rsid w:val="00247095"/>
    <w:rsid w:val="00254ED4"/>
    <w:rsid w:val="00255E57"/>
    <w:rsid w:val="0027308C"/>
    <w:rsid w:val="00282168"/>
    <w:rsid w:val="00290AFA"/>
    <w:rsid w:val="002971C4"/>
    <w:rsid w:val="002A0D2A"/>
    <w:rsid w:val="002A1ECF"/>
    <w:rsid w:val="002C244D"/>
    <w:rsid w:val="002C48A7"/>
    <w:rsid w:val="002D544E"/>
    <w:rsid w:val="002E41F7"/>
    <w:rsid w:val="002F0BA9"/>
    <w:rsid w:val="00303A26"/>
    <w:rsid w:val="00303F9A"/>
    <w:rsid w:val="00314129"/>
    <w:rsid w:val="00330E0D"/>
    <w:rsid w:val="00340019"/>
    <w:rsid w:val="00345AA5"/>
    <w:rsid w:val="00351E79"/>
    <w:rsid w:val="00362ED3"/>
    <w:rsid w:val="0039442A"/>
    <w:rsid w:val="0039494E"/>
    <w:rsid w:val="003D20A9"/>
    <w:rsid w:val="003F064C"/>
    <w:rsid w:val="00411E69"/>
    <w:rsid w:val="00412831"/>
    <w:rsid w:val="004254A7"/>
    <w:rsid w:val="00440A59"/>
    <w:rsid w:val="00456EC0"/>
    <w:rsid w:val="00480E00"/>
    <w:rsid w:val="00492D2E"/>
    <w:rsid w:val="00497C87"/>
    <w:rsid w:val="004A2A1F"/>
    <w:rsid w:val="004A3DD4"/>
    <w:rsid w:val="004D56F5"/>
    <w:rsid w:val="004D60AF"/>
    <w:rsid w:val="00503A53"/>
    <w:rsid w:val="005132AB"/>
    <w:rsid w:val="00533B25"/>
    <w:rsid w:val="005366E1"/>
    <w:rsid w:val="00540A42"/>
    <w:rsid w:val="00554504"/>
    <w:rsid w:val="00577CE9"/>
    <w:rsid w:val="005A528E"/>
    <w:rsid w:val="005A6CEC"/>
    <w:rsid w:val="005C0DFA"/>
    <w:rsid w:val="005C22EA"/>
    <w:rsid w:val="00611B12"/>
    <w:rsid w:val="00612E31"/>
    <w:rsid w:val="006215AB"/>
    <w:rsid w:val="006219C1"/>
    <w:rsid w:val="00623A93"/>
    <w:rsid w:val="006274BB"/>
    <w:rsid w:val="00627903"/>
    <w:rsid w:val="00630E5E"/>
    <w:rsid w:val="00637A3F"/>
    <w:rsid w:val="0064638A"/>
    <w:rsid w:val="00653F4A"/>
    <w:rsid w:val="00680569"/>
    <w:rsid w:val="00683FF6"/>
    <w:rsid w:val="00692965"/>
    <w:rsid w:val="006D5AB7"/>
    <w:rsid w:val="006D6BAC"/>
    <w:rsid w:val="006E0BF3"/>
    <w:rsid w:val="006F2C83"/>
    <w:rsid w:val="006F3E6F"/>
    <w:rsid w:val="007057B7"/>
    <w:rsid w:val="0072048D"/>
    <w:rsid w:val="00762864"/>
    <w:rsid w:val="007B1985"/>
    <w:rsid w:val="0080413A"/>
    <w:rsid w:val="00823FE2"/>
    <w:rsid w:val="0083790B"/>
    <w:rsid w:val="00857669"/>
    <w:rsid w:val="0087783D"/>
    <w:rsid w:val="008779AE"/>
    <w:rsid w:val="008A4828"/>
    <w:rsid w:val="008C3B87"/>
    <w:rsid w:val="008E4DF8"/>
    <w:rsid w:val="008E5CF2"/>
    <w:rsid w:val="008F3F8B"/>
    <w:rsid w:val="009023C8"/>
    <w:rsid w:val="009243A4"/>
    <w:rsid w:val="00937FED"/>
    <w:rsid w:val="00943A36"/>
    <w:rsid w:val="00962575"/>
    <w:rsid w:val="00963903"/>
    <w:rsid w:val="00982EC3"/>
    <w:rsid w:val="00990DA4"/>
    <w:rsid w:val="009A15F9"/>
    <w:rsid w:val="009C67EC"/>
    <w:rsid w:val="00A112DF"/>
    <w:rsid w:val="00A13773"/>
    <w:rsid w:val="00A4462A"/>
    <w:rsid w:val="00A70641"/>
    <w:rsid w:val="00A716C9"/>
    <w:rsid w:val="00A810D8"/>
    <w:rsid w:val="00A83C5B"/>
    <w:rsid w:val="00A87E49"/>
    <w:rsid w:val="00AB463D"/>
    <w:rsid w:val="00AC14AB"/>
    <w:rsid w:val="00AC467F"/>
    <w:rsid w:val="00AC5DEB"/>
    <w:rsid w:val="00AD66AC"/>
    <w:rsid w:val="00AE64D4"/>
    <w:rsid w:val="00B14A10"/>
    <w:rsid w:val="00B24B54"/>
    <w:rsid w:val="00B33C1B"/>
    <w:rsid w:val="00B50EB2"/>
    <w:rsid w:val="00B53CC1"/>
    <w:rsid w:val="00B653BD"/>
    <w:rsid w:val="00B74C4E"/>
    <w:rsid w:val="00B76AE1"/>
    <w:rsid w:val="00B83C6E"/>
    <w:rsid w:val="00BA0DD6"/>
    <w:rsid w:val="00BA5994"/>
    <w:rsid w:val="00BB4988"/>
    <w:rsid w:val="00C02048"/>
    <w:rsid w:val="00C04709"/>
    <w:rsid w:val="00C04A67"/>
    <w:rsid w:val="00C056AB"/>
    <w:rsid w:val="00C1459B"/>
    <w:rsid w:val="00C27D5E"/>
    <w:rsid w:val="00C55A86"/>
    <w:rsid w:val="00C80A4C"/>
    <w:rsid w:val="00C82447"/>
    <w:rsid w:val="00CA18DA"/>
    <w:rsid w:val="00CA428E"/>
    <w:rsid w:val="00CB5C88"/>
    <w:rsid w:val="00CB690F"/>
    <w:rsid w:val="00CD0360"/>
    <w:rsid w:val="00CD3644"/>
    <w:rsid w:val="00CE52C6"/>
    <w:rsid w:val="00D11C4B"/>
    <w:rsid w:val="00D329E7"/>
    <w:rsid w:val="00D854A3"/>
    <w:rsid w:val="00D85929"/>
    <w:rsid w:val="00DA3B70"/>
    <w:rsid w:val="00DA7628"/>
    <w:rsid w:val="00DB6E80"/>
    <w:rsid w:val="00DD386F"/>
    <w:rsid w:val="00DD3B82"/>
    <w:rsid w:val="00DF75A7"/>
    <w:rsid w:val="00E05784"/>
    <w:rsid w:val="00E1495F"/>
    <w:rsid w:val="00E449E2"/>
    <w:rsid w:val="00E642A9"/>
    <w:rsid w:val="00E7350B"/>
    <w:rsid w:val="00EA2CC8"/>
    <w:rsid w:val="00EB3DCE"/>
    <w:rsid w:val="00EB66E1"/>
    <w:rsid w:val="00EC75A8"/>
    <w:rsid w:val="00F0403B"/>
    <w:rsid w:val="00F237CD"/>
    <w:rsid w:val="00F371B4"/>
    <w:rsid w:val="00F4211E"/>
    <w:rsid w:val="00F751BD"/>
    <w:rsid w:val="00F83212"/>
    <w:rsid w:val="00F9515C"/>
    <w:rsid w:val="00F95B4B"/>
    <w:rsid w:val="00FB5EC8"/>
    <w:rsid w:val="00FC0BB3"/>
    <w:rsid w:val="00FE01CE"/>
    <w:rsid w:val="00FF0602"/>
    <w:rsid w:val="00FF21CE"/>
    <w:rsid w:val="03D2092F"/>
    <w:rsid w:val="07EC02F5"/>
    <w:rsid w:val="08053EFD"/>
    <w:rsid w:val="0D441C67"/>
    <w:rsid w:val="0DF72E38"/>
    <w:rsid w:val="0EDD528B"/>
    <w:rsid w:val="127E28E2"/>
    <w:rsid w:val="12BA26B2"/>
    <w:rsid w:val="15151410"/>
    <w:rsid w:val="179C176A"/>
    <w:rsid w:val="1AE84683"/>
    <w:rsid w:val="1C13269C"/>
    <w:rsid w:val="1CEF76D7"/>
    <w:rsid w:val="22CC3840"/>
    <w:rsid w:val="24247062"/>
    <w:rsid w:val="2B652CF3"/>
    <w:rsid w:val="2D773ADD"/>
    <w:rsid w:val="359B3DAB"/>
    <w:rsid w:val="3E244295"/>
    <w:rsid w:val="46EF04AC"/>
    <w:rsid w:val="4D5B623F"/>
    <w:rsid w:val="50CA42F5"/>
    <w:rsid w:val="5167620A"/>
    <w:rsid w:val="51827D68"/>
    <w:rsid w:val="52166D97"/>
    <w:rsid w:val="53C25EF7"/>
    <w:rsid w:val="53D0673A"/>
    <w:rsid w:val="53E61ABA"/>
    <w:rsid w:val="54514A8C"/>
    <w:rsid w:val="54A51394"/>
    <w:rsid w:val="54FD2717"/>
    <w:rsid w:val="560624DC"/>
    <w:rsid w:val="58BC6103"/>
    <w:rsid w:val="606315F1"/>
    <w:rsid w:val="63D7766E"/>
    <w:rsid w:val="665041EB"/>
    <w:rsid w:val="678C1855"/>
    <w:rsid w:val="6A9A7E0D"/>
    <w:rsid w:val="706B30ED"/>
    <w:rsid w:val="72D5465B"/>
    <w:rsid w:val="75007C71"/>
    <w:rsid w:val="7540424A"/>
    <w:rsid w:val="75CF58BE"/>
    <w:rsid w:val="765A26C3"/>
    <w:rsid w:val="76DB7348"/>
    <w:rsid w:val="7A7076AC"/>
    <w:rsid w:val="7A92369A"/>
    <w:rsid w:val="7C6D54A8"/>
    <w:rsid w:val="7EB26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en-US"/>
    </w:rPr>
  </w:style>
  <w:style w:type="paragraph" w:styleId="2">
    <w:name w:val="heading 1"/>
    <w:basedOn w:val="1"/>
    <w:next w:val="1"/>
    <w:link w:val="47"/>
    <w:qFormat/>
    <w:uiPriority w:val="9"/>
    <w:pPr>
      <w:keepNext/>
      <w:keepLines/>
      <w:spacing w:before="480" w:after="0"/>
      <w:jc w:val="center"/>
      <w:outlineLvl w:val="0"/>
    </w:pPr>
    <w:rPr>
      <w:rFonts w:ascii="黑体" w:hAnsi="黑体" w:eastAsia="黑体" w:cstheme="majorBidi"/>
      <w:bCs/>
      <w:color w:val="376092" w:themeColor="accent1" w:themeShade="BF"/>
      <w:sz w:val="28"/>
      <w:szCs w:val="28"/>
      <w:lang w:eastAsia="zh-CN"/>
    </w:rPr>
  </w:style>
  <w:style w:type="paragraph" w:styleId="3">
    <w:name w:val="heading 2"/>
    <w:basedOn w:val="1"/>
    <w:next w:val="1"/>
    <w:link w:val="48"/>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9"/>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0"/>
    </w:pPr>
  </w:style>
  <w:style w:type="paragraph" w:styleId="12">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3">
    <w:name w:val="annotation text"/>
    <w:basedOn w:val="1"/>
    <w:link w:val="69"/>
    <w:unhideWhenUsed/>
    <w:qFormat/>
    <w:uiPriority w:val="99"/>
    <w:pPr>
      <w:widowControl w:val="0"/>
      <w:tabs>
        <w:tab w:val="right" w:leader="dot" w:pos="9471"/>
      </w:tabs>
      <w:autoSpaceDE w:val="0"/>
      <w:autoSpaceDN w:val="0"/>
      <w:adjustRightInd w:val="0"/>
      <w:spacing w:after="0" w:line="400" w:lineRule="exact"/>
      <w:ind w:firstLine="480" w:firstLineChars="200"/>
    </w:pPr>
    <w:rPr>
      <w:rFonts w:ascii="宋体" w:hAnsi="Arial" w:eastAsia="宋体" w:cs="宋体"/>
      <w:sz w:val="24"/>
      <w:szCs w:val="24"/>
      <w:lang w:val="zh-CN" w:eastAsia="zh-CN" w:bidi="ar-SA"/>
    </w:rPr>
  </w:style>
  <w:style w:type="paragraph" w:styleId="14">
    <w:name w:val="Body Text"/>
    <w:basedOn w:val="1"/>
    <w:link w:val="41"/>
    <w:unhideWhenUsed/>
    <w:qFormat/>
    <w:uiPriority w:val="99"/>
    <w:pPr>
      <w:spacing w:after="120"/>
    </w:pPr>
  </w:style>
  <w:style w:type="paragraph" w:styleId="15">
    <w:name w:val="toc 5"/>
    <w:basedOn w:val="1"/>
    <w:next w:val="1"/>
    <w:unhideWhenUsed/>
    <w:qFormat/>
    <w:uiPriority w:val="39"/>
    <w:pPr>
      <w:spacing w:after="0"/>
    </w:pPr>
  </w:style>
  <w:style w:type="paragraph" w:styleId="16">
    <w:name w:val="toc 3"/>
    <w:basedOn w:val="1"/>
    <w:next w:val="1"/>
    <w:unhideWhenUsed/>
    <w:qFormat/>
    <w:uiPriority w:val="39"/>
    <w:pPr>
      <w:spacing w:after="0"/>
    </w:pPr>
    <w:rPr>
      <w:smallCaps/>
    </w:rPr>
  </w:style>
  <w:style w:type="paragraph" w:styleId="17">
    <w:name w:val="Plain Text"/>
    <w:basedOn w:val="1"/>
    <w:link w:val="80"/>
    <w:unhideWhenUsed/>
    <w:qFormat/>
    <w:uiPriority w:val="0"/>
    <w:pPr>
      <w:widowControl w:val="0"/>
      <w:spacing w:after="0" w:line="240" w:lineRule="auto"/>
      <w:jc w:val="both"/>
    </w:pPr>
    <w:rPr>
      <w:rFonts w:ascii="宋体" w:hAnsi="Courier New"/>
      <w:kern w:val="2"/>
      <w:sz w:val="21"/>
      <w:lang w:eastAsia="zh-CN" w:bidi="ar-SA"/>
    </w:rPr>
  </w:style>
  <w:style w:type="paragraph" w:styleId="18">
    <w:name w:val="toc 8"/>
    <w:basedOn w:val="1"/>
    <w:next w:val="1"/>
    <w:unhideWhenUsed/>
    <w:qFormat/>
    <w:uiPriority w:val="39"/>
    <w:pPr>
      <w:spacing w:after="0"/>
    </w:pPr>
  </w:style>
  <w:style w:type="paragraph" w:styleId="19">
    <w:name w:val="Date"/>
    <w:basedOn w:val="1"/>
    <w:next w:val="1"/>
    <w:link w:val="76"/>
    <w:semiHidden/>
    <w:unhideWhenUsed/>
    <w:qFormat/>
    <w:uiPriority w:val="99"/>
    <w:pPr>
      <w:ind w:left="100" w:leftChars="2500"/>
    </w:pPr>
  </w:style>
  <w:style w:type="paragraph" w:styleId="20">
    <w:name w:val="Body Text Indent 2"/>
    <w:basedOn w:val="1"/>
    <w:link w:val="40"/>
    <w:qFormat/>
    <w:uiPriority w:val="0"/>
    <w:pPr>
      <w:spacing w:line="600" w:lineRule="exact"/>
      <w:ind w:firstLine="560" w:firstLineChars="200"/>
    </w:pPr>
    <w:rPr>
      <w:rFonts w:ascii="Times New Roman" w:hAnsi="Times New Roman" w:eastAsia="宋体" w:cs="Times New Roman"/>
      <w:sz w:val="28"/>
      <w:szCs w:val="24"/>
    </w:rPr>
  </w:style>
  <w:style w:type="paragraph" w:styleId="21">
    <w:name w:val="Balloon Text"/>
    <w:basedOn w:val="1"/>
    <w:link w:val="46"/>
    <w:unhideWhenUsed/>
    <w:qFormat/>
    <w:uiPriority w:val="99"/>
    <w:rPr>
      <w:sz w:val="18"/>
      <w:szCs w:val="18"/>
    </w:rPr>
  </w:style>
  <w:style w:type="paragraph" w:styleId="22">
    <w:name w:val="footer"/>
    <w:basedOn w:val="1"/>
    <w:link w:val="43"/>
    <w:unhideWhenUsed/>
    <w:qFormat/>
    <w:uiPriority w:val="99"/>
    <w:pPr>
      <w:tabs>
        <w:tab w:val="center" w:pos="4153"/>
        <w:tab w:val="right" w:pos="8306"/>
      </w:tabs>
      <w:snapToGrid w:val="0"/>
    </w:pPr>
    <w:rPr>
      <w:sz w:val="18"/>
      <w:szCs w:val="18"/>
    </w:rPr>
  </w:style>
  <w:style w:type="paragraph" w:styleId="23">
    <w:name w:val="header"/>
    <w:basedOn w:val="1"/>
    <w:link w:val="42"/>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39"/>
    <w:pPr>
      <w:spacing w:before="360" w:after="360"/>
    </w:pPr>
    <w:rPr>
      <w:b/>
      <w:bCs/>
      <w:caps/>
      <w:u w:val="single"/>
    </w:rPr>
  </w:style>
  <w:style w:type="paragraph" w:styleId="25">
    <w:name w:val="toc 4"/>
    <w:basedOn w:val="1"/>
    <w:next w:val="1"/>
    <w:unhideWhenUsed/>
    <w:qFormat/>
    <w:uiPriority w:val="39"/>
    <w:pPr>
      <w:spacing w:after="0"/>
    </w:pPr>
  </w:style>
  <w:style w:type="paragraph" w:styleId="26">
    <w:name w:val="Subtitle"/>
    <w:basedOn w:val="1"/>
    <w:next w:val="1"/>
    <w:link w:val="5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toc 6"/>
    <w:basedOn w:val="1"/>
    <w:next w:val="1"/>
    <w:unhideWhenUsed/>
    <w:qFormat/>
    <w:uiPriority w:val="39"/>
    <w:pPr>
      <w:spacing w:after="0"/>
    </w:pPr>
  </w:style>
  <w:style w:type="paragraph" w:styleId="28">
    <w:name w:val="toc 2"/>
    <w:basedOn w:val="1"/>
    <w:next w:val="1"/>
    <w:unhideWhenUsed/>
    <w:qFormat/>
    <w:uiPriority w:val="39"/>
    <w:pPr>
      <w:spacing w:after="0"/>
    </w:pPr>
    <w:rPr>
      <w:b/>
      <w:bCs/>
      <w:smallCaps/>
    </w:rPr>
  </w:style>
  <w:style w:type="paragraph" w:styleId="29">
    <w:name w:val="toc 9"/>
    <w:basedOn w:val="1"/>
    <w:next w:val="1"/>
    <w:unhideWhenUsed/>
    <w:qFormat/>
    <w:uiPriority w:val="39"/>
    <w:pPr>
      <w:spacing w:after="0"/>
    </w:pPr>
  </w:style>
  <w:style w:type="paragraph" w:styleId="30">
    <w:name w:val="Normal (Web)"/>
    <w:basedOn w:val="1"/>
    <w:qFormat/>
    <w:uiPriority w:val="0"/>
    <w:pPr>
      <w:widowControl w:val="0"/>
      <w:spacing w:beforeAutospacing="1" w:after="0" w:afterAutospacing="1" w:line="240" w:lineRule="auto"/>
    </w:pPr>
    <w:rPr>
      <w:rFonts w:ascii="Calibri" w:hAnsi="Calibri" w:eastAsia="宋体" w:cs="Times New Roman"/>
      <w:sz w:val="24"/>
      <w:lang w:eastAsia="zh-CN" w:bidi="ar-SA"/>
    </w:rPr>
  </w:style>
  <w:style w:type="paragraph" w:styleId="31">
    <w:name w:val="Title"/>
    <w:basedOn w:val="1"/>
    <w:next w:val="1"/>
    <w:link w:val="5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2">
    <w:name w:val="annotation subject"/>
    <w:basedOn w:val="13"/>
    <w:next w:val="13"/>
    <w:link w:val="83"/>
    <w:semiHidden/>
    <w:unhideWhenUsed/>
    <w:qFormat/>
    <w:uiPriority w:val="99"/>
    <w:pPr>
      <w:widowControl/>
      <w:tabs>
        <w:tab w:val="clear" w:pos="9471"/>
      </w:tabs>
      <w:autoSpaceDE/>
      <w:autoSpaceDN/>
      <w:adjustRightInd/>
      <w:spacing w:after="200" w:line="276" w:lineRule="auto"/>
      <w:ind w:firstLine="0" w:firstLineChars="0"/>
    </w:pPr>
    <w:rPr>
      <w:rFonts w:asciiTheme="minorHAnsi" w:hAnsiTheme="minorHAnsi" w:eastAsiaTheme="minorEastAsia" w:cstheme="minorBidi"/>
      <w:b/>
      <w:bCs/>
      <w:sz w:val="22"/>
      <w:szCs w:val="22"/>
      <w:lang w:val="en-US" w:eastAsia="en-US" w:bidi="en-US"/>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22"/>
    <w:rPr>
      <w:b/>
      <w:bCs/>
    </w:rPr>
  </w:style>
  <w:style w:type="character" w:styleId="37">
    <w:name w:val="Emphasis"/>
    <w:basedOn w:val="35"/>
    <w:qFormat/>
    <w:uiPriority w:val="20"/>
    <w:rPr>
      <w:i/>
      <w:iCs/>
    </w:rPr>
  </w:style>
  <w:style w:type="character" w:styleId="38">
    <w:name w:val="Hyperlink"/>
    <w:basedOn w:val="35"/>
    <w:unhideWhenUsed/>
    <w:qFormat/>
    <w:uiPriority w:val="99"/>
    <w:rPr>
      <w:color w:val="0000FF" w:themeColor="hyperlink"/>
      <w:u w:val="single"/>
      <w14:textFill>
        <w14:solidFill>
          <w14:schemeClr w14:val="hlink"/>
        </w14:solidFill>
      </w14:textFill>
    </w:rPr>
  </w:style>
  <w:style w:type="character" w:styleId="39">
    <w:name w:val="annotation reference"/>
    <w:basedOn w:val="35"/>
    <w:semiHidden/>
    <w:unhideWhenUsed/>
    <w:qFormat/>
    <w:uiPriority w:val="99"/>
    <w:rPr>
      <w:sz w:val="21"/>
      <w:szCs w:val="21"/>
    </w:rPr>
  </w:style>
  <w:style w:type="character" w:customStyle="1" w:styleId="40">
    <w:name w:val="正文文本缩进 2 字符"/>
    <w:basedOn w:val="35"/>
    <w:link w:val="20"/>
    <w:qFormat/>
    <w:uiPriority w:val="0"/>
    <w:rPr>
      <w:rFonts w:ascii="Times New Roman" w:hAnsi="Times New Roman" w:eastAsia="宋体" w:cs="Times New Roman"/>
      <w:sz w:val="28"/>
      <w:szCs w:val="24"/>
    </w:rPr>
  </w:style>
  <w:style w:type="character" w:customStyle="1" w:styleId="41">
    <w:name w:val="正文文本 字符"/>
    <w:basedOn w:val="35"/>
    <w:link w:val="14"/>
    <w:qFormat/>
    <w:uiPriority w:val="99"/>
  </w:style>
  <w:style w:type="character" w:customStyle="1" w:styleId="42">
    <w:name w:val="页眉 字符"/>
    <w:basedOn w:val="35"/>
    <w:link w:val="23"/>
    <w:semiHidden/>
    <w:qFormat/>
    <w:uiPriority w:val="99"/>
    <w:rPr>
      <w:sz w:val="18"/>
      <w:szCs w:val="18"/>
    </w:rPr>
  </w:style>
  <w:style w:type="character" w:customStyle="1" w:styleId="43">
    <w:name w:val="页脚 字符"/>
    <w:basedOn w:val="35"/>
    <w:link w:val="22"/>
    <w:qFormat/>
    <w:uiPriority w:val="99"/>
    <w:rPr>
      <w:sz w:val="18"/>
      <w:szCs w:val="18"/>
    </w:rPr>
  </w:style>
  <w:style w:type="paragraph" w:customStyle="1" w:styleId="44">
    <w:name w:val="无间隔1"/>
    <w:link w:val="45"/>
    <w:qFormat/>
    <w:uiPriority w:val="1"/>
    <w:rPr>
      <w:rFonts w:asciiTheme="minorHAnsi" w:hAnsiTheme="minorHAnsi" w:eastAsiaTheme="minorEastAsia" w:cstheme="minorBidi"/>
      <w:sz w:val="22"/>
      <w:szCs w:val="22"/>
      <w:lang w:val="en-US" w:eastAsia="en-US" w:bidi="en-US"/>
    </w:rPr>
  </w:style>
  <w:style w:type="character" w:customStyle="1" w:styleId="45">
    <w:name w:val="无间隔 字符"/>
    <w:basedOn w:val="35"/>
    <w:link w:val="44"/>
    <w:qFormat/>
    <w:uiPriority w:val="1"/>
  </w:style>
  <w:style w:type="character" w:customStyle="1" w:styleId="46">
    <w:name w:val="批注框文本 字符"/>
    <w:basedOn w:val="35"/>
    <w:link w:val="21"/>
    <w:semiHidden/>
    <w:qFormat/>
    <w:uiPriority w:val="99"/>
    <w:rPr>
      <w:sz w:val="18"/>
      <w:szCs w:val="18"/>
    </w:rPr>
  </w:style>
  <w:style w:type="character" w:customStyle="1" w:styleId="47">
    <w:name w:val="标题 1 字符"/>
    <w:basedOn w:val="35"/>
    <w:link w:val="2"/>
    <w:qFormat/>
    <w:uiPriority w:val="9"/>
    <w:rPr>
      <w:rFonts w:ascii="黑体" w:hAnsi="黑体" w:eastAsia="黑体" w:cstheme="majorBidi"/>
      <w:bCs/>
      <w:color w:val="376092" w:themeColor="accent1" w:themeShade="BF"/>
      <w:sz w:val="28"/>
      <w:szCs w:val="28"/>
      <w:lang w:eastAsia="zh-CN"/>
    </w:rPr>
  </w:style>
  <w:style w:type="character" w:customStyle="1" w:styleId="48">
    <w:name w:val="标题 2 字符"/>
    <w:basedOn w:val="35"/>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9">
    <w:name w:val="标题 3 字符"/>
    <w:basedOn w:val="35"/>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50">
    <w:name w:val="标题 4 字符"/>
    <w:basedOn w:val="35"/>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1">
    <w:name w:val="标题 5 字符"/>
    <w:basedOn w:val="35"/>
    <w:link w:val="6"/>
    <w:qFormat/>
    <w:uiPriority w:val="9"/>
    <w:rPr>
      <w:rFonts w:asciiTheme="majorHAnsi" w:hAnsiTheme="majorHAnsi" w:eastAsiaTheme="majorEastAsia" w:cstheme="majorBidi"/>
      <w:color w:val="254061" w:themeColor="accent1" w:themeShade="80"/>
    </w:rPr>
  </w:style>
  <w:style w:type="character" w:customStyle="1" w:styleId="52">
    <w:name w:val="标题 6 字符"/>
    <w:basedOn w:val="35"/>
    <w:link w:val="7"/>
    <w:qFormat/>
    <w:uiPriority w:val="9"/>
    <w:rPr>
      <w:rFonts w:asciiTheme="majorHAnsi" w:hAnsiTheme="majorHAnsi" w:eastAsiaTheme="majorEastAsia" w:cstheme="majorBidi"/>
      <w:i/>
      <w:iCs/>
      <w:color w:val="254061" w:themeColor="accent1" w:themeShade="80"/>
    </w:rPr>
  </w:style>
  <w:style w:type="character" w:customStyle="1" w:styleId="53">
    <w:name w:val="标题 7 字符"/>
    <w:basedOn w:val="35"/>
    <w:link w:val="8"/>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4">
    <w:name w:val="标题 8 字符"/>
    <w:basedOn w:val="35"/>
    <w:link w:val="9"/>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5">
    <w:name w:val="标题 9 字符"/>
    <w:basedOn w:val="35"/>
    <w:link w:val="10"/>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56">
    <w:name w:val="标题 字符"/>
    <w:basedOn w:val="35"/>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57">
    <w:name w:val="副标题 字符"/>
    <w:basedOn w:val="35"/>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58">
    <w:name w:val="列表段落1"/>
    <w:basedOn w:val="1"/>
    <w:qFormat/>
    <w:uiPriority w:val="34"/>
    <w:pPr>
      <w:ind w:left="720"/>
      <w:contextualSpacing/>
    </w:pPr>
  </w:style>
  <w:style w:type="paragraph" w:customStyle="1" w:styleId="59">
    <w:name w:val="引用1"/>
    <w:basedOn w:val="1"/>
    <w:next w:val="1"/>
    <w:link w:val="60"/>
    <w:qFormat/>
    <w:uiPriority w:val="29"/>
    <w:rPr>
      <w:i/>
      <w:iCs/>
      <w:color w:val="000000" w:themeColor="text1"/>
      <w14:textFill>
        <w14:solidFill>
          <w14:schemeClr w14:val="tx1"/>
        </w14:solidFill>
      </w14:textFill>
    </w:rPr>
  </w:style>
  <w:style w:type="character" w:customStyle="1" w:styleId="60">
    <w:name w:val="引用 字符"/>
    <w:basedOn w:val="35"/>
    <w:link w:val="59"/>
    <w:qFormat/>
    <w:uiPriority w:val="29"/>
    <w:rPr>
      <w:i/>
      <w:iCs/>
      <w:color w:val="000000" w:themeColor="text1"/>
      <w14:textFill>
        <w14:solidFill>
          <w14:schemeClr w14:val="tx1"/>
        </w14:solidFill>
      </w14:textFill>
    </w:rPr>
  </w:style>
  <w:style w:type="paragraph" w:customStyle="1" w:styleId="61">
    <w:name w:val="明显引用1"/>
    <w:basedOn w:val="1"/>
    <w:next w:val="1"/>
    <w:link w:val="62"/>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62">
    <w:name w:val="明显引用 字符"/>
    <w:basedOn w:val="35"/>
    <w:link w:val="61"/>
    <w:qFormat/>
    <w:uiPriority w:val="30"/>
    <w:rPr>
      <w:b/>
      <w:bCs/>
      <w:i/>
      <w:iCs/>
      <w:color w:val="4F81BD" w:themeColor="accent1"/>
      <w14:textFill>
        <w14:solidFill>
          <w14:schemeClr w14:val="accent1"/>
        </w14:solidFill>
      </w14:textFill>
    </w:rPr>
  </w:style>
  <w:style w:type="character" w:customStyle="1" w:styleId="63">
    <w:name w:val="不明显强调1"/>
    <w:basedOn w:val="35"/>
    <w:qFormat/>
    <w:uiPriority w:val="19"/>
    <w:rPr>
      <w:i/>
      <w:iCs/>
      <w:color w:val="808080" w:themeColor="text1" w:themeTint="80"/>
      <w14:textFill>
        <w14:solidFill>
          <w14:schemeClr w14:val="tx1">
            <w14:lumMod w14:val="50000"/>
            <w14:lumOff w14:val="50000"/>
          </w14:schemeClr>
        </w14:solidFill>
      </w14:textFill>
    </w:rPr>
  </w:style>
  <w:style w:type="character" w:customStyle="1" w:styleId="64">
    <w:name w:val="明显强调1"/>
    <w:basedOn w:val="35"/>
    <w:qFormat/>
    <w:uiPriority w:val="21"/>
    <w:rPr>
      <w:b/>
      <w:bCs/>
      <w:i/>
      <w:iCs/>
      <w:color w:val="4F81BD" w:themeColor="accent1"/>
      <w14:textFill>
        <w14:solidFill>
          <w14:schemeClr w14:val="accent1"/>
        </w14:solidFill>
      </w14:textFill>
    </w:rPr>
  </w:style>
  <w:style w:type="character" w:customStyle="1" w:styleId="65">
    <w:name w:val="不明显参考1"/>
    <w:basedOn w:val="35"/>
    <w:qFormat/>
    <w:uiPriority w:val="31"/>
    <w:rPr>
      <w:smallCaps/>
      <w:color w:val="C0504D" w:themeColor="accent2"/>
      <w:u w:val="single"/>
      <w14:textFill>
        <w14:solidFill>
          <w14:schemeClr w14:val="accent2"/>
        </w14:solidFill>
      </w14:textFill>
    </w:rPr>
  </w:style>
  <w:style w:type="character" w:customStyle="1" w:styleId="66">
    <w:name w:val="明显参考1"/>
    <w:basedOn w:val="35"/>
    <w:qFormat/>
    <w:uiPriority w:val="32"/>
    <w:rPr>
      <w:b/>
      <w:bCs/>
      <w:smallCaps/>
      <w:color w:val="C0504D" w:themeColor="accent2"/>
      <w:spacing w:val="5"/>
      <w:u w:val="single"/>
      <w14:textFill>
        <w14:solidFill>
          <w14:schemeClr w14:val="accent2"/>
        </w14:solidFill>
      </w14:textFill>
    </w:rPr>
  </w:style>
  <w:style w:type="character" w:customStyle="1" w:styleId="67">
    <w:name w:val="书籍标题1"/>
    <w:basedOn w:val="35"/>
    <w:qFormat/>
    <w:uiPriority w:val="33"/>
    <w:rPr>
      <w:b/>
      <w:bCs/>
      <w:smallCaps/>
      <w:spacing w:val="5"/>
    </w:rPr>
  </w:style>
  <w:style w:type="paragraph" w:customStyle="1" w:styleId="68">
    <w:name w:val="TOC 标题1"/>
    <w:basedOn w:val="2"/>
    <w:next w:val="1"/>
    <w:unhideWhenUsed/>
    <w:qFormat/>
    <w:uiPriority w:val="39"/>
    <w:pPr>
      <w:outlineLvl w:val="9"/>
    </w:pPr>
  </w:style>
  <w:style w:type="character" w:customStyle="1" w:styleId="69">
    <w:name w:val="批注文字 字符"/>
    <w:basedOn w:val="35"/>
    <w:link w:val="13"/>
    <w:qFormat/>
    <w:uiPriority w:val="99"/>
    <w:rPr>
      <w:rFonts w:ascii="宋体" w:hAnsi="Arial" w:eastAsia="宋体" w:cs="宋体"/>
      <w:sz w:val="24"/>
      <w:szCs w:val="24"/>
      <w:lang w:val="zh-CN" w:eastAsia="zh-CN" w:bidi="ar-SA"/>
    </w:rPr>
  </w:style>
  <w:style w:type="paragraph" w:customStyle="1" w:styleId="70">
    <w:name w:val="Normal_15"/>
    <w:qFormat/>
    <w:uiPriority w:val="0"/>
    <w:pPr>
      <w:spacing w:before="120" w:after="240"/>
      <w:jc w:val="both"/>
    </w:pPr>
    <w:rPr>
      <w:rFonts w:ascii="Calibri" w:hAnsi="Calibri" w:eastAsia="Calibri" w:cs="Times New Roman"/>
      <w:sz w:val="22"/>
      <w:szCs w:val="22"/>
      <w:lang w:val="ru-RU" w:eastAsia="en-US" w:bidi="ar-SA"/>
    </w:rPr>
  </w:style>
  <w:style w:type="paragraph" w:customStyle="1" w:styleId="71">
    <w:name w:val="Char"/>
    <w:basedOn w:val="1"/>
    <w:qFormat/>
    <w:uiPriority w:val="0"/>
    <w:pPr>
      <w:widowControl w:val="0"/>
      <w:tabs>
        <w:tab w:val="right" w:leader="dot" w:pos="9471"/>
      </w:tabs>
      <w:autoSpaceDE w:val="0"/>
      <w:autoSpaceDN w:val="0"/>
      <w:adjustRightInd w:val="0"/>
      <w:spacing w:after="0" w:line="400" w:lineRule="exact"/>
      <w:ind w:firstLine="480" w:firstLineChars="200"/>
      <w:jc w:val="both"/>
    </w:pPr>
    <w:rPr>
      <w:rFonts w:ascii="Tahoma" w:hAnsi="Tahoma" w:eastAsia="宋体" w:cs="Times New Roman"/>
      <w:sz w:val="24"/>
      <w:szCs w:val="20"/>
      <w:lang w:val="zh-CN" w:eastAsia="zh-CN" w:bidi="ar-SA"/>
    </w:rPr>
  </w:style>
  <w:style w:type="paragraph" w:customStyle="1" w:styleId="72">
    <w:name w:val="xl27"/>
    <w:basedOn w:val="1"/>
    <w:qFormat/>
    <w:uiPriority w:val="0"/>
    <w:pPr>
      <w:pBdr>
        <w:left w:val="single" w:color="auto" w:sz="8" w:space="0"/>
        <w:bottom w:val="single" w:color="auto" w:sz="4" w:space="0"/>
        <w:right w:val="single" w:color="auto" w:sz="4" w:space="0"/>
      </w:pBdr>
      <w:tabs>
        <w:tab w:val="right" w:leader="dot" w:pos="9471"/>
      </w:tabs>
      <w:autoSpaceDE w:val="0"/>
      <w:autoSpaceDN w:val="0"/>
      <w:adjustRightInd w:val="0"/>
      <w:spacing w:before="100" w:beforeAutospacing="1" w:after="100" w:afterAutospacing="1" w:line="400" w:lineRule="exact"/>
      <w:ind w:firstLine="480" w:firstLineChars="200"/>
      <w:jc w:val="center"/>
    </w:pPr>
    <w:rPr>
      <w:rFonts w:ascii="宋体" w:hAnsi="宋体" w:eastAsia="宋体" w:cs="Times New Roman"/>
      <w:sz w:val="24"/>
      <w:szCs w:val="21"/>
      <w:lang w:val="zh-CN" w:eastAsia="zh-CN" w:bidi="ar-SA"/>
    </w:rPr>
  </w:style>
  <w:style w:type="character" w:customStyle="1" w:styleId="73">
    <w:name w:val="未处理的提及1"/>
    <w:basedOn w:val="35"/>
    <w:unhideWhenUsed/>
    <w:qFormat/>
    <w:uiPriority w:val="99"/>
    <w:rPr>
      <w:color w:val="605E5C"/>
      <w:shd w:val="clear" w:color="auto" w:fill="E1DFDD"/>
    </w:rPr>
  </w:style>
  <w:style w:type="character" w:customStyle="1" w:styleId="74">
    <w:name w:val="未处理的提及2"/>
    <w:basedOn w:val="35"/>
    <w:unhideWhenUsed/>
    <w:qFormat/>
    <w:uiPriority w:val="99"/>
    <w:rPr>
      <w:color w:val="605E5C"/>
      <w:shd w:val="clear" w:color="auto" w:fill="E1DFDD"/>
    </w:rPr>
  </w:style>
  <w:style w:type="character" w:customStyle="1" w:styleId="75">
    <w:name w:val="未处理的提及3"/>
    <w:basedOn w:val="35"/>
    <w:unhideWhenUsed/>
    <w:qFormat/>
    <w:uiPriority w:val="99"/>
    <w:rPr>
      <w:color w:val="605E5C"/>
      <w:shd w:val="clear" w:color="auto" w:fill="E1DFDD"/>
    </w:rPr>
  </w:style>
  <w:style w:type="character" w:customStyle="1" w:styleId="76">
    <w:name w:val="日期 字符"/>
    <w:basedOn w:val="35"/>
    <w:link w:val="19"/>
    <w:semiHidden/>
    <w:qFormat/>
    <w:uiPriority w:val="99"/>
    <w:rPr>
      <w:rFonts w:asciiTheme="minorHAnsi" w:hAnsiTheme="minorHAnsi" w:eastAsiaTheme="minorEastAsia" w:cstheme="minorBidi"/>
      <w:sz w:val="22"/>
      <w:szCs w:val="22"/>
      <w:lang w:eastAsia="en-US" w:bidi="en-US"/>
    </w:rPr>
  </w:style>
  <w:style w:type="character" w:customStyle="1" w:styleId="77">
    <w:name w:val="font61"/>
    <w:basedOn w:val="35"/>
    <w:qFormat/>
    <w:uiPriority w:val="0"/>
    <w:rPr>
      <w:rFonts w:hint="default" w:ascii="Times New Roman" w:hAnsi="Times New Roman" w:cs="Times New Roman"/>
      <w:color w:val="000000"/>
      <w:sz w:val="21"/>
      <w:szCs w:val="21"/>
      <w:u w:val="none"/>
    </w:rPr>
  </w:style>
  <w:style w:type="character" w:customStyle="1" w:styleId="78">
    <w:name w:val="font11"/>
    <w:basedOn w:val="35"/>
    <w:qFormat/>
    <w:uiPriority w:val="0"/>
    <w:rPr>
      <w:rFonts w:hint="default" w:ascii="Times New Roman" w:hAnsi="Times New Roman" w:cs="Times New Roman"/>
      <w:color w:val="000000"/>
      <w:sz w:val="22"/>
      <w:szCs w:val="22"/>
      <w:u w:val="none"/>
    </w:rPr>
  </w:style>
  <w:style w:type="character" w:customStyle="1" w:styleId="79">
    <w:name w:val="font31"/>
    <w:basedOn w:val="35"/>
    <w:qFormat/>
    <w:uiPriority w:val="0"/>
    <w:rPr>
      <w:rFonts w:hint="eastAsia" w:ascii="宋体" w:hAnsi="宋体" w:eastAsia="宋体" w:cs="宋体"/>
      <w:color w:val="000000"/>
      <w:sz w:val="21"/>
      <w:szCs w:val="21"/>
      <w:u w:val="none"/>
    </w:rPr>
  </w:style>
  <w:style w:type="character" w:customStyle="1" w:styleId="80">
    <w:name w:val="纯文本 字符"/>
    <w:basedOn w:val="35"/>
    <w:link w:val="17"/>
    <w:qFormat/>
    <w:uiPriority w:val="0"/>
    <w:rPr>
      <w:rFonts w:ascii="宋体" w:hAnsi="Courier New" w:eastAsiaTheme="minorEastAsia" w:cstheme="minorBidi"/>
      <w:kern w:val="2"/>
      <w:sz w:val="21"/>
      <w:szCs w:val="22"/>
    </w:rPr>
  </w:style>
  <w:style w:type="paragraph" w:styleId="81">
    <w:name w:val="List Paragraph"/>
    <w:basedOn w:val="1"/>
    <w:unhideWhenUsed/>
    <w:qFormat/>
    <w:uiPriority w:val="34"/>
    <w:pPr>
      <w:widowControl w:val="0"/>
      <w:spacing w:after="0" w:line="240" w:lineRule="auto"/>
      <w:ind w:firstLine="420" w:firstLineChars="200"/>
      <w:jc w:val="both"/>
    </w:pPr>
    <w:rPr>
      <w:kern w:val="2"/>
      <w:sz w:val="21"/>
      <w:lang w:eastAsia="zh-CN" w:bidi="ar-SA"/>
    </w:rPr>
  </w:style>
  <w:style w:type="table" w:customStyle="1" w:styleId="82">
    <w:name w:val="网格型1"/>
    <w:basedOn w:val="33"/>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3">
    <w:name w:val="批注主题 字符"/>
    <w:basedOn w:val="69"/>
    <w:link w:val="32"/>
    <w:semiHidden/>
    <w:qFormat/>
    <w:uiPriority w:val="99"/>
    <w:rPr>
      <w:rFonts w:asciiTheme="minorHAnsi" w:hAnsiTheme="minorHAnsi" w:eastAsiaTheme="minorEastAsia" w:cstheme="minorBidi"/>
      <w:b/>
      <w:bCs/>
      <w:sz w:val="22"/>
      <w:szCs w:val="22"/>
      <w:lang w:val="zh-CN" w:eastAsia="en-US" w:bidi="en-US"/>
    </w:rPr>
  </w:style>
  <w:style w:type="table" w:customStyle="1" w:styleId="84">
    <w:name w:val="TableGrid"/>
    <w:qFormat/>
    <w:uiPriority w:val="0"/>
    <w:tblPr>
      <w:tblCellMar>
        <w:top w:w="0" w:type="dxa"/>
        <w:left w:w="0" w:type="dxa"/>
        <w:bottom w:w="0" w:type="dxa"/>
        <w:right w:w="0" w:type="dxa"/>
      </w:tblCellMar>
    </w:tblPr>
  </w:style>
  <w:style w:type="character" w:customStyle="1" w:styleId="85">
    <w:name w:val="font51"/>
    <w:basedOn w:val="35"/>
    <w:qFormat/>
    <w:uiPriority w:val="0"/>
    <w:rPr>
      <w:rFonts w:hint="eastAsia" w:ascii="等线" w:hAnsi="等线" w:eastAsia="等线" w:cs="等线"/>
      <w:color w:val="000000"/>
      <w:sz w:val="21"/>
      <w:szCs w:val="21"/>
      <w:u w:val="single"/>
    </w:rPr>
  </w:style>
  <w:style w:type="character" w:customStyle="1" w:styleId="86">
    <w:name w:val="font41"/>
    <w:basedOn w:val="35"/>
    <w:qFormat/>
    <w:uiPriority w:val="0"/>
    <w:rPr>
      <w:rFonts w:hint="eastAsia" w:ascii="等线" w:hAnsi="等线" w:eastAsia="等线" w:cs="等线"/>
      <w:color w:val="000000"/>
      <w:sz w:val="21"/>
      <w:szCs w:val="21"/>
      <w:u w:val="none"/>
    </w:rPr>
  </w:style>
  <w:style w:type="character" w:customStyle="1" w:styleId="87">
    <w:name w:val="font71"/>
    <w:basedOn w:val="35"/>
    <w:qFormat/>
    <w:uiPriority w:val="0"/>
    <w:rPr>
      <w:rFonts w:hint="eastAsia" w:ascii="等线" w:hAnsi="等线" w:eastAsia="等线" w:cs="等线"/>
      <w:b/>
      <w:bCs/>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552</Words>
  <Characters>659</Characters>
  <Lines>166</Lines>
  <Paragraphs>46</Paragraphs>
  <TotalTime>2</TotalTime>
  <ScaleCrop>false</ScaleCrop>
  <LinksUpToDate>false</LinksUpToDate>
  <CharactersWithSpaces>970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2023-08-04T10:24:00Z</dcterms:created>
  <dc:creator>xcg</dc:creator>
  <cp:lastModifiedBy>Madison.</cp:lastModifiedBy>
  <cp:lastPrinted>2021-08-19T17:54:00Z</cp:lastPrinted>
  <dcterms:modified xsi:type="dcterms:W3CDTF">2026-10-26T01:26:10Z</dcterms:modified>
  <dc:title>四川沱牌贸易有限公司酿酒原粮（小麦）采购招标文件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1F556AD06FAA4D5B92651DD520D78FB2_13</vt:lpwstr>
  </property>
  <property fmtid="{D5CDD505-2E9C-101B-9397-08002B2CF9AE}" pid="4" name="commondata">
    <vt:lpwstr>eyJoZGlkIjoiZmM4OWQzNWRkMTAxMmExYTY3NTEwNGVhZjVkMjUyY2IifQ==</vt:lpwstr>
  </property>
  <property fmtid="{D5CDD505-2E9C-101B-9397-08002B2CF9AE}" pid="5" name="KSOTemplateDocerSaveRecord">
    <vt:lpwstr>eyJoZGlkIjoiYmExNmMzN2Q2NDA0MDRjMmQ1NDVmNjA4ZmRiMGM4NjYiLCJ1c2VySWQiOiI0MjcxNjY0ODUifQ==</vt:lpwstr>
  </property>
</Properties>
</file>